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0EAC815E" w:rsidR="002B682F" w:rsidRPr="00F17066" w:rsidRDefault="0080315D" w:rsidP="002B682F">
      <w:pPr>
        <w:jc w:val="center"/>
        <w:rPr>
          <w:rFonts w:cstheme="minorHAnsi"/>
          <w:b/>
          <w:bCs/>
          <w:sz w:val="28"/>
          <w:szCs w:val="28"/>
        </w:rPr>
      </w:pPr>
      <w:r>
        <w:rPr>
          <w:rFonts w:cstheme="minorHAnsi"/>
          <w:b/>
          <w:bCs/>
          <w:sz w:val="28"/>
          <w:szCs w:val="28"/>
        </w:rPr>
        <w:t xml:space="preserve">Private </w:t>
      </w:r>
      <w:r w:rsidR="001E02AC">
        <w:rPr>
          <w:rFonts w:cstheme="minorHAnsi"/>
          <w:b/>
          <w:bCs/>
          <w:sz w:val="28"/>
          <w:szCs w:val="28"/>
        </w:rPr>
        <w:t>Non-Core Real Estate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3CAD2310" w14:textId="77777777" w:rsidR="00865CEF" w:rsidRPr="00865CEF" w:rsidRDefault="00F17066" w:rsidP="00865CEF">
      <w:pPr>
        <w:rPr>
          <w:b/>
          <w:bCs/>
        </w:rPr>
      </w:pPr>
      <w:r w:rsidRPr="00F17066">
        <w:rPr>
          <w:b/>
          <w:bCs/>
        </w:rPr>
        <w:t xml:space="preserve">1. </w:t>
      </w:r>
      <w:r w:rsidR="003A1241">
        <w:rPr>
          <w:b/>
          <w:bCs/>
        </w:rPr>
        <w:tab/>
      </w:r>
      <w:r w:rsidR="00865CEF" w:rsidRPr="00865CEF">
        <w:rPr>
          <w:b/>
          <w:bCs/>
        </w:rPr>
        <w:t>I wanted to inquire about the Registration Minimum qualification, specifically:</w:t>
      </w:r>
    </w:p>
    <w:p w14:paraId="59270470" w14:textId="77777777" w:rsidR="00865CEF" w:rsidRPr="00865CEF" w:rsidRDefault="00865CEF" w:rsidP="00865CEF">
      <w:pPr>
        <w:rPr>
          <w:b/>
          <w:bCs/>
        </w:rPr>
      </w:pPr>
    </w:p>
    <w:p w14:paraId="48E21E8B" w14:textId="77777777" w:rsidR="00865CEF" w:rsidRPr="00865CEF" w:rsidRDefault="00865CEF" w:rsidP="005F2154">
      <w:pPr>
        <w:pStyle w:val="ListParagraph"/>
        <w:numPr>
          <w:ilvl w:val="0"/>
          <w:numId w:val="6"/>
        </w:numPr>
        <w:spacing w:line="240" w:lineRule="auto"/>
        <w:ind w:firstLine="0"/>
        <w:contextualSpacing w:val="0"/>
        <w:rPr>
          <w:rFonts w:eastAsia="Times New Roman"/>
          <w:b/>
          <w:bCs/>
        </w:rPr>
      </w:pPr>
      <w:r w:rsidRPr="00865CEF">
        <w:rPr>
          <w:rFonts w:eastAsia="Times New Roman"/>
          <w:b/>
          <w:bCs/>
        </w:rPr>
        <w:t>Candidate is: (a) a registered investment adviser registered under the Investment Adviser’s Act of 1940, (b) a registered investment adviser under the Illinois Securities Law of 1953; (c) a bank, as defined in the Investment Advisers Act of 1940; or (d) an insurance company authorized to transact business in Illinois.</w:t>
      </w:r>
    </w:p>
    <w:p w14:paraId="25BA9CE1" w14:textId="77777777" w:rsidR="00865CEF" w:rsidRPr="00865CEF" w:rsidRDefault="00865CEF" w:rsidP="00865CEF">
      <w:pPr>
        <w:rPr>
          <w:b/>
          <w:bCs/>
        </w:rPr>
      </w:pPr>
    </w:p>
    <w:p w14:paraId="38B601FA" w14:textId="6DE332B0" w:rsidR="00865CEF" w:rsidRPr="00865CEF" w:rsidRDefault="00865CEF" w:rsidP="00126744">
      <w:pPr>
        <w:ind w:left="720"/>
        <w:rPr>
          <w:b/>
          <w:bCs/>
        </w:rPr>
      </w:pPr>
      <w:r w:rsidRPr="00865CEF">
        <w:rPr>
          <w:b/>
          <w:bCs/>
        </w:rPr>
        <w:t>Our firm is not registered with the SEC due to exemptions from registration under the Investment Advisers Act of 1940.  Specifically:</w:t>
      </w:r>
    </w:p>
    <w:p w14:paraId="3976B44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none of our funds meet the requirements of an “investment company” based on the exemptions permitted under §3(a)(1) of the Investment Company Act of 1940, as amended (the “Investment Company Act”);</w:t>
      </w:r>
    </w:p>
    <w:p w14:paraId="19EDF2B0"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thus, none of our funds constitute “private funds” under §202(a)(29) of the Investment Advisers Act;</w:t>
      </w:r>
    </w:p>
    <w:p w14:paraId="588411F1" w14:textId="77777777" w:rsidR="00865CEF" w:rsidRPr="00865CEF" w:rsidRDefault="00865CEF" w:rsidP="00865CEF">
      <w:pPr>
        <w:numPr>
          <w:ilvl w:val="0"/>
          <w:numId w:val="7"/>
        </w:numPr>
        <w:spacing w:line="240" w:lineRule="auto"/>
        <w:rPr>
          <w:rFonts w:eastAsia="Times New Roman"/>
          <w:b/>
          <w:bCs/>
        </w:rPr>
      </w:pPr>
      <w:r w:rsidRPr="00865CEF">
        <w:rPr>
          <w:rFonts w:eastAsia="Times New Roman"/>
          <w:b/>
          <w:bCs/>
        </w:rPr>
        <w:t>each of the funds is a Pennsylvania resident, for purposes of the Investment Advisers Act;</w:t>
      </w:r>
    </w:p>
    <w:p w14:paraId="5DB139BE" w14:textId="77777777" w:rsidR="00865CEF" w:rsidRPr="00865CEF" w:rsidRDefault="00865CEF" w:rsidP="00865CEF">
      <w:pPr>
        <w:numPr>
          <w:ilvl w:val="0"/>
          <w:numId w:val="7"/>
        </w:numPr>
        <w:spacing w:line="240" w:lineRule="auto"/>
        <w:rPr>
          <w:rFonts w:eastAsia="Times New Roman"/>
          <w:b/>
          <w:bCs/>
        </w:rPr>
      </w:pPr>
      <w:proofErr w:type="gramStart"/>
      <w:r w:rsidRPr="00865CEF">
        <w:rPr>
          <w:rFonts w:eastAsia="Times New Roman"/>
          <w:b/>
          <w:bCs/>
        </w:rPr>
        <w:t>thus</w:t>
      </w:r>
      <w:proofErr w:type="gramEnd"/>
      <w:r w:rsidRPr="00865CEF">
        <w:rPr>
          <w:rFonts w:eastAsia="Times New Roman"/>
          <w:b/>
          <w:bCs/>
        </w:rPr>
        <w:t>, we are exempt as an intrastate adviser from federal registration under §203(b)(1) of the Investment Advisers Act;</w:t>
      </w:r>
    </w:p>
    <w:p w14:paraId="73011D24" w14:textId="77777777" w:rsidR="00865CEF" w:rsidRPr="00865CEF" w:rsidRDefault="00865CEF" w:rsidP="00865CEF">
      <w:pPr>
        <w:rPr>
          <w:b/>
          <w:bCs/>
        </w:rPr>
      </w:pPr>
      <w:r w:rsidRPr="00865CEF">
        <w:rPr>
          <w:b/>
          <w:bCs/>
        </w:rPr>
        <w:t> </w:t>
      </w:r>
    </w:p>
    <w:p w14:paraId="0CC7D63B" w14:textId="114AFFF0" w:rsidR="00865CEF" w:rsidRDefault="00865CEF" w:rsidP="00246F6A">
      <w:pPr>
        <w:ind w:firstLine="720"/>
      </w:pPr>
      <w:r w:rsidRPr="00865CEF">
        <w:rPr>
          <w:b/>
          <w:bCs/>
        </w:rPr>
        <w:t>We are also not a bank or an insurance firm.</w:t>
      </w:r>
      <w:r w:rsidR="00246F6A">
        <w:rPr>
          <w:b/>
          <w:bCs/>
        </w:rPr>
        <w:t xml:space="preserve">  Should we submit our RFP for consideration?</w:t>
      </w:r>
    </w:p>
    <w:p w14:paraId="324B3C03" w14:textId="77777777" w:rsidR="005F2154" w:rsidRDefault="005F2154" w:rsidP="00246F6A">
      <w:pPr>
        <w:ind w:firstLine="720"/>
      </w:pPr>
    </w:p>
    <w:p w14:paraId="26F759C5" w14:textId="25B528A0" w:rsidR="005F2154" w:rsidRDefault="00BD19E1" w:rsidP="007B7F11">
      <w:pPr>
        <w:ind w:left="720"/>
      </w:pPr>
      <w:r>
        <w:t>The referenced</w:t>
      </w:r>
      <w:r w:rsidR="007706DA">
        <w:t xml:space="preserve"> minimum qualification</w:t>
      </w:r>
      <w:r w:rsidR="00936BE8">
        <w:t xml:space="preserve"> </w:t>
      </w:r>
      <w:r w:rsidR="00BA5BA6">
        <w:t xml:space="preserve">is required by </w:t>
      </w:r>
      <w:r w:rsidR="008C2746">
        <w:t>Section 1-101.4</w:t>
      </w:r>
      <w:r w:rsidR="00625419">
        <w:t>(4) of the Illinois Pension Code</w:t>
      </w:r>
      <w:r w:rsidR="00936BE8">
        <w:t xml:space="preserve">, </w:t>
      </w:r>
      <w:r w:rsidR="00B4395E">
        <w:t xml:space="preserve">40 ILCS 5/1-101.4(4), </w:t>
      </w:r>
      <w:r w:rsidR="00936BE8">
        <w:t>which</w:t>
      </w:r>
      <w:r w:rsidR="00625419">
        <w:t xml:space="preserve"> requires that an investment manager</w:t>
      </w:r>
      <w:r w:rsidR="00495064">
        <w:t xml:space="preserve"> be</w:t>
      </w:r>
      <w:r w:rsidR="009C3860">
        <w:t xml:space="preserve"> “</w:t>
      </w:r>
      <w:r w:rsidR="009C3860" w:rsidRPr="009C3860">
        <w:t>at least one of the following: (i) registered</w:t>
      </w:r>
      <w:r w:rsidR="009C3860">
        <w:t xml:space="preserve"> </w:t>
      </w:r>
      <w:r w:rsidR="009C3860" w:rsidRPr="009C3860">
        <w:t>as an investment adviser under the federal Investment Advisers Act of 1940 (15 U.S.C. 80b-1, et seq.); (ii) registered as an investment adviser under the Illinois Securities Law of 1953; (iii) a bank, as defined in th</w:t>
      </w:r>
      <w:r w:rsidR="00E90D56">
        <w:t xml:space="preserve">e </w:t>
      </w:r>
      <w:r w:rsidR="009C3860" w:rsidRPr="009C3860">
        <w:t>Investment Advisers Act of 1940; or (iv) an insurance company authorized to transact business in this State.</w:t>
      </w:r>
      <w:r w:rsidR="00E90D56">
        <w:t>”</w:t>
      </w:r>
    </w:p>
    <w:p w14:paraId="5B435C77" w14:textId="77777777" w:rsidR="005F2154" w:rsidRDefault="005F2154" w:rsidP="00246F6A">
      <w:pPr>
        <w:ind w:firstLine="720"/>
      </w:pPr>
    </w:p>
    <w:p w14:paraId="51E2FE6F" w14:textId="2843F438" w:rsidR="00CD6595" w:rsidRDefault="00CD6595" w:rsidP="00246F6A">
      <w:pPr>
        <w:ind w:firstLine="720"/>
      </w:pPr>
      <w:r>
        <w:t xml:space="preserve">Proposals that do not meet the minimum requirements will not be considered.  </w:t>
      </w:r>
    </w:p>
    <w:p w14:paraId="65B5DA43" w14:textId="77777777" w:rsidR="00B96336" w:rsidRDefault="00B96336" w:rsidP="00246F6A">
      <w:pPr>
        <w:ind w:firstLine="720"/>
      </w:pPr>
    </w:p>
    <w:p w14:paraId="4AA0303F" w14:textId="77777777" w:rsidR="00126744" w:rsidRDefault="00126744" w:rsidP="00246F6A">
      <w:pPr>
        <w:ind w:firstLine="720"/>
      </w:pPr>
    </w:p>
    <w:p w14:paraId="12C6F819" w14:textId="77777777" w:rsidR="00FE4F29" w:rsidRPr="00FE4F29" w:rsidRDefault="00FE4F29" w:rsidP="005C2112">
      <w:pPr>
        <w:pStyle w:val="ListParagraph"/>
        <w:numPr>
          <w:ilvl w:val="0"/>
          <w:numId w:val="6"/>
        </w:numPr>
        <w:ind w:hanging="720"/>
        <w:rPr>
          <w:b/>
          <w:bCs/>
        </w:rPr>
      </w:pPr>
      <w:r w:rsidRPr="00FE4F29">
        <w:rPr>
          <w:b/>
          <w:bCs/>
        </w:rPr>
        <w:t xml:space="preserve">Would private real estate debt (US multifamily direct lending and securities – CMBS/CRE CLO) with a 10-12% net IRR target be considered for the non-core real estate search? </w:t>
      </w:r>
    </w:p>
    <w:p w14:paraId="0E0924A8" w14:textId="77777777" w:rsidR="005F2154" w:rsidRDefault="005F2154" w:rsidP="00FE4F29">
      <w:pPr>
        <w:pStyle w:val="ListParagraph"/>
      </w:pPr>
    </w:p>
    <w:p w14:paraId="4CCB49B4" w14:textId="016B7F8D" w:rsidR="000637C8" w:rsidRDefault="00575CAA" w:rsidP="00126744">
      <w:pPr>
        <w:ind w:left="720"/>
      </w:pPr>
      <w:r>
        <w:t xml:space="preserve">This search is primarily focused on Real Estate equity although a material allocation to real estate debt could be part of comprehensive solution.  Real Estate debt funds are not preferred.  </w:t>
      </w:r>
    </w:p>
    <w:p w14:paraId="4FD77A00" w14:textId="77777777" w:rsidR="000637C8" w:rsidRDefault="000637C8" w:rsidP="009700E8">
      <w:pPr>
        <w:ind w:left="360" w:firstLine="360"/>
      </w:pPr>
    </w:p>
    <w:p w14:paraId="0300DAF6" w14:textId="24AD0925" w:rsidR="00012E2E" w:rsidRPr="00601F55" w:rsidRDefault="00012E2E" w:rsidP="005C2112">
      <w:pPr>
        <w:pStyle w:val="ListParagraph"/>
        <w:numPr>
          <w:ilvl w:val="0"/>
          <w:numId w:val="6"/>
        </w:numPr>
        <w:ind w:hanging="720"/>
        <w:rPr>
          <w:rFonts w:ascii="Calibri" w:hAnsi="Calibri" w:cs="Calibri"/>
          <w:b/>
          <w:bCs/>
        </w:rPr>
      </w:pPr>
      <w:r w:rsidRPr="00012E2E">
        <w:rPr>
          <w:rFonts w:ascii="Calibri" w:hAnsi="Calibri" w:cs="Calibri"/>
          <w:b/>
          <w:bCs/>
        </w:rPr>
        <w:t xml:space="preserve">We are registered with the SEC under a Reg D exception. </w:t>
      </w:r>
      <w:r w:rsidR="00601F55">
        <w:rPr>
          <w:rFonts w:ascii="Calibri" w:hAnsi="Calibri" w:cs="Calibri"/>
          <w:b/>
          <w:bCs/>
        </w:rPr>
        <w:t xml:space="preserve"> </w:t>
      </w:r>
      <w:r w:rsidRPr="00601F55">
        <w:rPr>
          <w:rFonts w:ascii="Calibri" w:hAnsi="Calibri" w:cs="Calibri"/>
          <w:b/>
          <w:bCs/>
        </w:rPr>
        <w:t xml:space="preserve">Given this, can you tell me if we would or would not be eligible to apply for the RFP given this minimum qualification: </w:t>
      </w:r>
    </w:p>
    <w:p w14:paraId="24DB2B6C" w14:textId="77777777" w:rsidR="000637C8" w:rsidRDefault="000637C8" w:rsidP="00601F55">
      <w:pPr>
        <w:pStyle w:val="ListParagraph"/>
        <w:rPr>
          <w:b/>
          <w:bCs/>
        </w:rPr>
      </w:pPr>
    </w:p>
    <w:p w14:paraId="2A4BC2A9" w14:textId="5098A113" w:rsidR="00114BC8" w:rsidRDefault="00114BC8" w:rsidP="00601F55">
      <w:pPr>
        <w:pStyle w:val="ListParagraph"/>
        <w:rPr>
          <w:b/>
          <w:bCs/>
        </w:rPr>
      </w:pPr>
      <w:r w:rsidRPr="00114BC8">
        <w:rPr>
          <w:b/>
          <w:bCs/>
          <w:noProof/>
        </w:rPr>
        <w:drawing>
          <wp:inline distT="0" distB="0" distL="0" distR="0" wp14:anchorId="0A683E5B" wp14:editId="7A48CAF3">
            <wp:extent cx="5496692" cy="752580"/>
            <wp:effectExtent l="0" t="0" r="8890" b="9525"/>
            <wp:docPr id="101342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28159" name=""/>
                    <pic:cNvPicPr/>
                  </pic:nvPicPr>
                  <pic:blipFill>
                    <a:blip r:embed="rId11"/>
                    <a:stretch>
                      <a:fillRect/>
                    </a:stretch>
                  </pic:blipFill>
                  <pic:spPr>
                    <a:xfrm>
                      <a:off x="0" y="0"/>
                      <a:ext cx="5496692" cy="752580"/>
                    </a:xfrm>
                    <a:prstGeom prst="rect">
                      <a:avLst/>
                    </a:prstGeom>
                  </pic:spPr>
                </pic:pic>
              </a:graphicData>
            </a:graphic>
          </wp:inline>
        </w:drawing>
      </w:r>
    </w:p>
    <w:p w14:paraId="343DB1DA" w14:textId="77777777" w:rsidR="00114BC8" w:rsidRDefault="00114BC8" w:rsidP="00601F55">
      <w:pPr>
        <w:pStyle w:val="ListParagraph"/>
        <w:rPr>
          <w:b/>
          <w:bCs/>
        </w:rPr>
      </w:pPr>
    </w:p>
    <w:p w14:paraId="36062B56" w14:textId="5C427178" w:rsidR="005C2112" w:rsidRDefault="00A65F4C" w:rsidP="00601F55">
      <w:pPr>
        <w:pStyle w:val="ListParagraph"/>
      </w:pPr>
      <w:r>
        <w:t>The referenced</w:t>
      </w:r>
      <w:r w:rsidR="00B4395E">
        <w:t xml:space="preserve"> minimum qualification </w:t>
      </w:r>
      <w:r>
        <w:t xml:space="preserve">is required by </w:t>
      </w:r>
      <w:r w:rsidR="00B4395E">
        <w:t>Section 1-101.4(4) of the Illinois Pension Code, 40 ILCS 5/1-101.4(4), which requires that an investment manager be “</w:t>
      </w:r>
      <w:r w:rsidR="00B4395E" w:rsidRPr="009C3860">
        <w:t>at least one of the following: (i) registered</w:t>
      </w:r>
      <w:r w:rsidR="00B4395E">
        <w:t xml:space="preserve"> </w:t>
      </w:r>
      <w:r w:rsidR="00B4395E" w:rsidRPr="009C3860">
        <w:t>as an investment adviser under the federal Investment Advisers Act of 1940 (15 U.S.C. 80b-1, et seq.); (ii) registered as an investment adviser under the Illinois Securities Law of 1953; (iii) a bank, as defined in th</w:t>
      </w:r>
      <w:r w:rsidR="00B4395E">
        <w:t xml:space="preserve">e </w:t>
      </w:r>
      <w:r w:rsidR="00B4395E" w:rsidRPr="009C3860">
        <w:t>Investment Advisers Act of 1940; or (iv) an insurance company authorized to transact business in this State.</w:t>
      </w:r>
      <w:r w:rsidR="00B4395E">
        <w:t>”</w:t>
      </w:r>
    </w:p>
    <w:p w14:paraId="03871A47" w14:textId="77777777" w:rsidR="005C2112" w:rsidRDefault="005C2112" w:rsidP="00601F55">
      <w:pPr>
        <w:pStyle w:val="ListParagraph"/>
      </w:pPr>
    </w:p>
    <w:p w14:paraId="6C952465" w14:textId="3930826F" w:rsidR="00A65F4C" w:rsidRDefault="005502FA" w:rsidP="00601F55">
      <w:pPr>
        <w:pStyle w:val="ListParagraph"/>
      </w:pPr>
      <w:r>
        <w:t xml:space="preserve">The SEC registration under a Reg D exception would not meet the minimum requirements for consideration.  </w:t>
      </w:r>
    </w:p>
    <w:p w14:paraId="5484796F" w14:textId="77777777" w:rsidR="005C2112" w:rsidRDefault="005C2112" w:rsidP="00601F55">
      <w:pPr>
        <w:pStyle w:val="ListParagraph"/>
      </w:pPr>
    </w:p>
    <w:p w14:paraId="480C5254" w14:textId="77777777" w:rsidR="00BE7039" w:rsidRDefault="00BE7039" w:rsidP="00601F55">
      <w:pPr>
        <w:pStyle w:val="ListParagraph"/>
      </w:pPr>
    </w:p>
    <w:p w14:paraId="464121A7" w14:textId="0910FCB0" w:rsidR="005C2112" w:rsidRDefault="009B540F" w:rsidP="005C2112">
      <w:pPr>
        <w:pStyle w:val="ListParagraph"/>
        <w:numPr>
          <w:ilvl w:val="0"/>
          <w:numId w:val="6"/>
        </w:numPr>
        <w:ind w:hanging="720"/>
        <w:rPr>
          <w:b/>
          <w:bCs/>
        </w:rPr>
      </w:pPr>
      <w:r w:rsidRPr="009B540F">
        <w:rPr>
          <w:b/>
          <w:bCs/>
        </w:rPr>
        <w:t>I am writing to confirm whether real estate debt funds are eligible for the IPOPIF Private Non-Core Real Estate Investment Management Services RFP. Based on our review, the fund parameters align with the target strategy parameters outlined on page 4.</w:t>
      </w:r>
    </w:p>
    <w:p w14:paraId="3E27DD3B" w14:textId="77777777" w:rsidR="009B540F" w:rsidRDefault="009B540F" w:rsidP="009B540F">
      <w:pPr>
        <w:rPr>
          <w:b/>
          <w:bCs/>
        </w:rPr>
      </w:pPr>
    </w:p>
    <w:p w14:paraId="15EDBCFE" w14:textId="77777777" w:rsidR="008C718A" w:rsidRDefault="008C718A" w:rsidP="008C718A">
      <w:pPr>
        <w:ind w:left="720"/>
      </w:pPr>
      <w:r>
        <w:t xml:space="preserve">This search is primarily focused on Real Estate equity although a material allocation to real estate debt could be part of comprehensive solution.  Real Estate debt funds are not preferred.  </w:t>
      </w:r>
    </w:p>
    <w:p w14:paraId="4E044936" w14:textId="77777777" w:rsidR="009E6799" w:rsidRDefault="009E6799" w:rsidP="008C718A">
      <w:pPr>
        <w:ind w:left="720"/>
      </w:pPr>
    </w:p>
    <w:p w14:paraId="718B439C" w14:textId="77777777" w:rsidR="009E6799" w:rsidRDefault="009E6799" w:rsidP="008C718A">
      <w:pPr>
        <w:ind w:left="720"/>
      </w:pPr>
    </w:p>
    <w:p w14:paraId="50ECC420" w14:textId="3FF5B646" w:rsidR="009E6799" w:rsidRDefault="00DA6A1C" w:rsidP="009E6799">
      <w:pPr>
        <w:pStyle w:val="ListParagraph"/>
        <w:numPr>
          <w:ilvl w:val="0"/>
          <w:numId w:val="6"/>
        </w:numPr>
        <w:ind w:hanging="720"/>
        <w:rPr>
          <w:rFonts w:cstheme="minorHAnsi"/>
          <w:b/>
          <w:bCs/>
        </w:rPr>
      </w:pPr>
      <w:r w:rsidRPr="00DA6A1C">
        <w:rPr>
          <w:rFonts w:cstheme="minorHAnsi"/>
          <w:b/>
          <w:bCs/>
        </w:rPr>
        <w:t>We are interested in submitting Exhibit 1 of the non-core real estate RFP for our triple net lease strategy. Could you please clarify if our fund may be suitable?</w:t>
      </w:r>
    </w:p>
    <w:p w14:paraId="24D49669" w14:textId="77777777" w:rsidR="00ED5762" w:rsidRDefault="00ED5762" w:rsidP="00ED5762">
      <w:pPr>
        <w:rPr>
          <w:rFonts w:cstheme="minorHAnsi"/>
          <w:b/>
          <w:bCs/>
        </w:rPr>
      </w:pPr>
    </w:p>
    <w:p w14:paraId="7B2861ED" w14:textId="77777777" w:rsidR="004E1F65" w:rsidRDefault="004E1F65" w:rsidP="00502126">
      <w:pPr>
        <w:ind w:firstLine="720"/>
        <w:rPr>
          <w:rFonts w:cstheme="minorHAnsi"/>
        </w:rPr>
      </w:pPr>
      <w:r>
        <w:rPr>
          <w:rFonts w:cstheme="minorHAnsi"/>
        </w:rPr>
        <w:t xml:space="preserve">Please refer to the IPOPIF non-core real estate RFP scope of services to determine suitability. </w:t>
      </w:r>
    </w:p>
    <w:p w14:paraId="082C6F5E" w14:textId="77777777" w:rsidR="005967BD" w:rsidRDefault="005967BD" w:rsidP="00502126">
      <w:pPr>
        <w:ind w:firstLine="720"/>
        <w:rPr>
          <w:rFonts w:cstheme="minorHAnsi"/>
        </w:rPr>
      </w:pPr>
    </w:p>
    <w:p w14:paraId="04E1D538" w14:textId="77777777" w:rsidR="005967BD" w:rsidRPr="00ED5762" w:rsidRDefault="005967BD" w:rsidP="005967BD">
      <w:pPr>
        <w:rPr>
          <w:rFonts w:cstheme="minorHAnsi"/>
        </w:rPr>
      </w:pPr>
    </w:p>
    <w:p w14:paraId="564E0061" w14:textId="6474145D" w:rsidR="009B540F" w:rsidRDefault="005967BD" w:rsidP="005967BD">
      <w:pPr>
        <w:pStyle w:val="ListParagraph"/>
        <w:numPr>
          <w:ilvl w:val="0"/>
          <w:numId w:val="6"/>
        </w:numPr>
        <w:ind w:hanging="720"/>
        <w:rPr>
          <w:rFonts w:cstheme="minorHAnsi"/>
          <w:b/>
          <w:bCs/>
          <w:szCs w:val="24"/>
        </w:rPr>
      </w:pPr>
      <w:r w:rsidRPr="005967BD">
        <w:rPr>
          <w:rFonts w:cstheme="minorHAnsi"/>
          <w:b/>
          <w:bCs/>
          <w:szCs w:val="24"/>
        </w:rPr>
        <w:t xml:space="preserve">We noted the minimum requirement of being a registered investment adviser.  We are in process and expect to be an RIA by the end of June 2026.  Would the fact that the process isn’t currently </w:t>
      </w:r>
      <w:proofErr w:type="gramStart"/>
      <w:r w:rsidRPr="005967BD">
        <w:rPr>
          <w:rFonts w:cstheme="minorHAnsi"/>
          <w:b/>
          <w:bCs/>
          <w:szCs w:val="24"/>
        </w:rPr>
        <w:t>complete</w:t>
      </w:r>
      <w:proofErr w:type="gramEnd"/>
      <w:r w:rsidRPr="005967BD">
        <w:rPr>
          <w:rFonts w:cstheme="minorHAnsi"/>
          <w:b/>
          <w:bCs/>
          <w:szCs w:val="24"/>
        </w:rPr>
        <w:t xml:space="preserve"> eliminate us or would this be acceptable?</w:t>
      </w:r>
    </w:p>
    <w:p w14:paraId="3169873C" w14:textId="77777777" w:rsidR="005967BD" w:rsidRDefault="005967BD" w:rsidP="005967BD">
      <w:pPr>
        <w:rPr>
          <w:rFonts w:cstheme="minorHAnsi"/>
          <w:b/>
          <w:bCs/>
          <w:szCs w:val="24"/>
        </w:rPr>
      </w:pPr>
    </w:p>
    <w:p w14:paraId="48A6E283" w14:textId="15A6F2C6" w:rsidR="005967BD" w:rsidRDefault="005967BD" w:rsidP="005967BD">
      <w:pPr>
        <w:ind w:left="720"/>
        <w:rPr>
          <w:rFonts w:cstheme="minorHAnsi"/>
          <w:szCs w:val="24"/>
        </w:rPr>
      </w:pPr>
    </w:p>
    <w:p w14:paraId="3A4B5B4A" w14:textId="55898B8C" w:rsidR="005967BD" w:rsidRDefault="00C91760" w:rsidP="00C91760">
      <w:pPr>
        <w:ind w:left="720"/>
        <w:rPr>
          <w:rFonts w:cstheme="minorHAnsi"/>
          <w:szCs w:val="24"/>
        </w:rPr>
      </w:pPr>
      <w:r>
        <w:rPr>
          <w:rFonts w:cstheme="minorHAnsi"/>
          <w:szCs w:val="24"/>
        </w:rPr>
        <w:t xml:space="preserve">It is a minimum qualification that the candidate is: </w:t>
      </w:r>
      <w:r w:rsidRPr="00C91760">
        <w:rPr>
          <w:rFonts w:cstheme="minorHAnsi"/>
          <w:szCs w:val="24"/>
        </w:rPr>
        <w:t>(a) a registered investment adviser registered under the Investment</w:t>
      </w:r>
      <w:r>
        <w:rPr>
          <w:rFonts w:cstheme="minorHAnsi"/>
          <w:szCs w:val="24"/>
        </w:rPr>
        <w:t xml:space="preserve"> </w:t>
      </w:r>
      <w:r w:rsidRPr="00C91760">
        <w:rPr>
          <w:rFonts w:cstheme="minorHAnsi"/>
          <w:szCs w:val="24"/>
        </w:rPr>
        <w:t>Adviser’s Act of 1940, (b) a registered investment adviser under the Illinois Securities</w:t>
      </w:r>
      <w:r>
        <w:rPr>
          <w:rFonts w:cstheme="minorHAnsi"/>
          <w:szCs w:val="24"/>
        </w:rPr>
        <w:t xml:space="preserve"> </w:t>
      </w:r>
      <w:r w:rsidRPr="00C91760">
        <w:rPr>
          <w:rFonts w:cstheme="minorHAnsi"/>
          <w:szCs w:val="24"/>
        </w:rPr>
        <w:t>Law of 1953; (c) a bank, as defined in the Investment Advisers Act of 1940; or (d) an</w:t>
      </w:r>
      <w:r>
        <w:rPr>
          <w:rFonts w:cstheme="minorHAnsi"/>
          <w:szCs w:val="24"/>
        </w:rPr>
        <w:t xml:space="preserve"> </w:t>
      </w:r>
      <w:r w:rsidRPr="00C91760">
        <w:rPr>
          <w:rFonts w:cstheme="minorHAnsi"/>
          <w:szCs w:val="24"/>
        </w:rPr>
        <w:t>insurance company authorized to transact business in Illinois.</w:t>
      </w:r>
    </w:p>
    <w:p w14:paraId="29AB8B99" w14:textId="77777777" w:rsidR="00C91760" w:rsidRDefault="00C91760" w:rsidP="00C91760">
      <w:pPr>
        <w:ind w:left="720"/>
        <w:rPr>
          <w:rFonts w:cstheme="minorHAnsi"/>
          <w:szCs w:val="24"/>
        </w:rPr>
      </w:pPr>
    </w:p>
    <w:p w14:paraId="11218F77" w14:textId="4A126EAA" w:rsidR="00C91760" w:rsidRDefault="00C91760" w:rsidP="00C91760">
      <w:pPr>
        <w:ind w:left="720"/>
        <w:rPr>
          <w:rFonts w:cstheme="minorHAnsi"/>
          <w:szCs w:val="24"/>
        </w:rPr>
      </w:pPr>
      <w:r w:rsidRPr="00C91760">
        <w:rPr>
          <w:rFonts w:cstheme="minorHAnsi"/>
          <w:szCs w:val="24"/>
        </w:rPr>
        <w:t xml:space="preserve">Candidates must satisfy each of the minimum qualifications for this RFP </w:t>
      </w:r>
      <w:proofErr w:type="gramStart"/>
      <w:r w:rsidRPr="00C91760">
        <w:rPr>
          <w:rFonts w:cstheme="minorHAnsi"/>
          <w:szCs w:val="24"/>
        </w:rPr>
        <w:t>in order to</w:t>
      </w:r>
      <w:proofErr w:type="gramEnd"/>
      <w:r w:rsidRPr="00C91760">
        <w:rPr>
          <w:rFonts w:cstheme="minorHAnsi"/>
          <w:szCs w:val="24"/>
        </w:rPr>
        <w:t xml:space="preserve"> be</w:t>
      </w:r>
      <w:r>
        <w:rPr>
          <w:rFonts w:cstheme="minorHAnsi"/>
          <w:szCs w:val="24"/>
        </w:rPr>
        <w:t xml:space="preserve"> </w:t>
      </w:r>
      <w:r w:rsidRPr="00C91760">
        <w:rPr>
          <w:rFonts w:cstheme="minorHAnsi"/>
          <w:szCs w:val="24"/>
        </w:rPr>
        <w:t>given consideration. Failure to satisfy each of the requirements will result in the rejection of the</w:t>
      </w:r>
      <w:r>
        <w:rPr>
          <w:rFonts w:cstheme="minorHAnsi"/>
          <w:szCs w:val="24"/>
        </w:rPr>
        <w:t xml:space="preserve"> </w:t>
      </w:r>
      <w:r w:rsidRPr="00C91760">
        <w:rPr>
          <w:rFonts w:cstheme="minorHAnsi"/>
          <w:szCs w:val="24"/>
        </w:rPr>
        <w:t>proposal.</w:t>
      </w:r>
    </w:p>
    <w:p w14:paraId="1BE6749E" w14:textId="77777777" w:rsidR="00C91760" w:rsidRDefault="00C91760" w:rsidP="00C91760">
      <w:pPr>
        <w:ind w:left="720"/>
        <w:rPr>
          <w:rFonts w:cstheme="minorHAnsi"/>
          <w:szCs w:val="24"/>
        </w:rPr>
      </w:pPr>
    </w:p>
    <w:p w14:paraId="07D9BC20" w14:textId="651F2446" w:rsidR="00C91760" w:rsidRDefault="00C91760" w:rsidP="00C91760">
      <w:pPr>
        <w:ind w:left="720"/>
        <w:rPr>
          <w:rFonts w:cstheme="minorHAnsi"/>
          <w:szCs w:val="24"/>
        </w:rPr>
      </w:pPr>
      <w:r>
        <w:rPr>
          <w:rFonts w:cstheme="minorHAnsi"/>
          <w:szCs w:val="24"/>
        </w:rPr>
        <w:t>Minimum qualifications must be satisfied at the time of proposal submission, no later than 5:00 pm CT on June 18, 2026.</w:t>
      </w:r>
    </w:p>
    <w:p w14:paraId="6C7262A1" w14:textId="77777777" w:rsidR="00F00CD4" w:rsidRDefault="00F00CD4" w:rsidP="00F00CD4">
      <w:pPr>
        <w:rPr>
          <w:rFonts w:cstheme="minorHAnsi"/>
          <w:szCs w:val="24"/>
        </w:rPr>
      </w:pPr>
    </w:p>
    <w:p w14:paraId="63629EDC" w14:textId="77777777" w:rsidR="005967BD" w:rsidRDefault="005967BD" w:rsidP="005967BD">
      <w:pPr>
        <w:ind w:left="720"/>
        <w:rPr>
          <w:rFonts w:cstheme="minorHAnsi"/>
          <w:b/>
          <w:bCs/>
        </w:rPr>
      </w:pPr>
    </w:p>
    <w:p w14:paraId="4E2A3E7D" w14:textId="40BC547F" w:rsidR="005967BD" w:rsidRPr="005967BD" w:rsidRDefault="005967BD" w:rsidP="005967BD">
      <w:pPr>
        <w:pStyle w:val="ListParagraph"/>
        <w:numPr>
          <w:ilvl w:val="0"/>
          <w:numId w:val="6"/>
        </w:numPr>
        <w:ind w:hanging="720"/>
        <w:rPr>
          <w:rFonts w:cstheme="minorHAnsi"/>
          <w:b/>
          <w:bCs/>
          <w:szCs w:val="24"/>
        </w:rPr>
      </w:pPr>
      <w:r w:rsidRPr="005967BD">
        <w:rPr>
          <w:rFonts w:cstheme="minorHAnsi"/>
          <w:b/>
          <w:bCs/>
        </w:rPr>
        <w:t xml:space="preserve">Could you please provide additional clarity on the targets sectors for the RFP? </w:t>
      </w:r>
    </w:p>
    <w:p w14:paraId="2EFACB7E" w14:textId="77777777" w:rsidR="005967BD" w:rsidRDefault="005967BD" w:rsidP="005967BD">
      <w:pPr>
        <w:rPr>
          <w:rFonts w:cstheme="minorHAnsi"/>
          <w:b/>
          <w:bCs/>
          <w:szCs w:val="24"/>
        </w:rPr>
      </w:pPr>
    </w:p>
    <w:p w14:paraId="1815046D" w14:textId="24E2D448" w:rsidR="005967BD" w:rsidRDefault="00C91760" w:rsidP="00C91760">
      <w:pPr>
        <w:ind w:left="720"/>
        <w:rPr>
          <w:rFonts w:cstheme="minorHAnsi"/>
          <w:szCs w:val="24"/>
        </w:rPr>
      </w:pPr>
      <w:r>
        <w:rPr>
          <w:rFonts w:cstheme="minorHAnsi"/>
          <w:szCs w:val="24"/>
        </w:rPr>
        <w:t>The RFP Scope of Services addresses Target Strategy Parameters, including “Broad exposure across sectors including alternatives.”  “Successful investment in alternative sectors</w:t>
      </w:r>
      <w:r w:rsidR="00C2537B">
        <w:rPr>
          <w:rFonts w:cstheme="minorHAnsi"/>
          <w:szCs w:val="24"/>
        </w:rPr>
        <w:t>” is a noted search preference.</w:t>
      </w:r>
    </w:p>
    <w:p w14:paraId="1CF6FA3C" w14:textId="77777777" w:rsidR="00C2537B" w:rsidRDefault="00C2537B" w:rsidP="00C91760">
      <w:pPr>
        <w:ind w:left="720"/>
        <w:rPr>
          <w:rFonts w:cstheme="minorHAnsi"/>
          <w:szCs w:val="24"/>
        </w:rPr>
      </w:pPr>
    </w:p>
    <w:p w14:paraId="171F6A37" w14:textId="262D0850" w:rsidR="00C2537B" w:rsidRDefault="00C2537B" w:rsidP="00C91760">
      <w:pPr>
        <w:ind w:left="720"/>
        <w:rPr>
          <w:rFonts w:cstheme="minorHAnsi"/>
          <w:szCs w:val="24"/>
        </w:rPr>
      </w:pPr>
      <w:r>
        <w:rPr>
          <w:rFonts w:cstheme="minorHAnsi"/>
          <w:szCs w:val="24"/>
        </w:rPr>
        <w:t>The questions in the Exhibit 1 RFI and Exhibit 2 questionnaire relating to the proposed solution allow respondents to discuss expected exposures and the rationale.</w:t>
      </w:r>
    </w:p>
    <w:p w14:paraId="163D46B9" w14:textId="77777777" w:rsidR="00C2537B" w:rsidRDefault="00C2537B" w:rsidP="00C91760">
      <w:pPr>
        <w:ind w:left="720"/>
        <w:rPr>
          <w:rFonts w:cstheme="minorHAnsi"/>
          <w:szCs w:val="24"/>
        </w:rPr>
      </w:pPr>
    </w:p>
    <w:p w14:paraId="0E925443" w14:textId="527A7722" w:rsidR="00C2537B" w:rsidRDefault="00C2537B" w:rsidP="00C10A58">
      <w:pPr>
        <w:ind w:left="720"/>
        <w:rPr>
          <w:rFonts w:cstheme="minorHAnsi"/>
          <w:szCs w:val="24"/>
        </w:rPr>
      </w:pPr>
      <w:r>
        <w:rPr>
          <w:rFonts w:cstheme="minorHAnsi"/>
          <w:szCs w:val="24"/>
        </w:rPr>
        <w:t xml:space="preserve">Sector focused funds would not be viewed as providing the “broad exposure” specified in the Scope of Services.  </w:t>
      </w:r>
    </w:p>
    <w:p w14:paraId="2FE6318D" w14:textId="77777777" w:rsidR="00F00CD4" w:rsidRDefault="00F00CD4" w:rsidP="00F00CD4">
      <w:pPr>
        <w:rPr>
          <w:rFonts w:cstheme="minorHAnsi"/>
          <w:szCs w:val="24"/>
        </w:rPr>
      </w:pPr>
    </w:p>
    <w:p w14:paraId="2BDC19C9" w14:textId="77777777" w:rsidR="005967BD" w:rsidRPr="005967BD" w:rsidRDefault="005967BD" w:rsidP="005967BD">
      <w:pPr>
        <w:ind w:left="720"/>
        <w:rPr>
          <w:rFonts w:cstheme="minorHAnsi"/>
          <w:b/>
          <w:bCs/>
          <w:szCs w:val="24"/>
        </w:rPr>
      </w:pPr>
    </w:p>
    <w:p w14:paraId="39A2DB64" w14:textId="11459FF8" w:rsidR="005967BD" w:rsidRPr="00F00CD4" w:rsidRDefault="00756FF1" w:rsidP="005967BD">
      <w:pPr>
        <w:pStyle w:val="ListParagraph"/>
        <w:numPr>
          <w:ilvl w:val="0"/>
          <w:numId w:val="6"/>
        </w:numPr>
        <w:ind w:hanging="720"/>
        <w:rPr>
          <w:rFonts w:cstheme="minorHAnsi"/>
          <w:b/>
          <w:bCs/>
        </w:rPr>
      </w:pPr>
      <w:r>
        <w:rPr>
          <w:rFonts w:cstheme="minorHAnsi"/>
          <w:b/>
          <w:bCs/>
        </w:rPr>
        <w:t>W</w:t>
      </w:r>
      <w:r w:rsidR="005967BD" w:rsidRPr="005967BD">
        <w:rPr>
          <w:rFonts w:cstheme="minorHAnsi"/>
          <w:b/>
          <w:bCs/>
        </w:rPr>
        <w:t>ould you please confirm whether the RFP is targeting more of a multi-manager mandate or a directly held real estate account? More specifically, we wanted to confirm that you would consider a customizable non-core real estate FOO/SMA structure with funding between $225 and $450 million (dependent upon the number of managers selected).</w:t>
      </w:r>
    </w:p>
    <w:p w14:paraId="28ED5848" w14:textId="31919737" w:rsidR="005967BD" w:rsidRPr="005967BD" w:rsidRDefault="005967BD" w:rsidP="005967BD">
      <w:pPr>
        <w:ind w:left="720"/>
        <w:rPr>
          <w:rFonts w:cstheme="minorHAnsi"/>
        </w:rPr>
      </w:pPr>
    </w:p>
    <w:p w14:paraId="61960BED" w14:textId="354559E5" w:rsidR="00756FF1" w:rsidRPr="00C10A58" w:rsidRDefault="00756FF1" w:rsidP="00C10A58">
      <w:pPr>
        <w:ind w:left="720"/>
        <w:rPr>
          <w:rFonts w:cstheme="minorHAnsi"/>
          <w:szCs w:val="24"/>
        </w:rPr>
      </w:pPr>
      <w:r>
        <w:rPr>
          <w:rFonts w:cstheme="minorHAnsi"/>
          <w:szCs w:val="24"/>
        </w:rPr>
        <w:t>The RFP Scope of Services notes that “</w:t>
      </w:r>
      <w:r w:rsidRPr="00756FF1">
        <w:rPr>
          <w:rFonts w:cstheme="minorHAnsi"/>
          <w:szCs w:val="24"/>
        </w:rPr>
        <w:t>Implementation methods may include primary funds, direct/co-investments and secondaries.  IPOPIF will consider Fund-of-One “FOO” structures that are customizable to optimize IPOPIF’s unique start up profile and provide long term flexibility and optionality into the management of the mandate.</w:t>
      </w:r>
      <w:r>
        <w:rPr>
          <w:rFonts w:cstheme="minorHAnsi"/>
          <w:szCs w:val="24"/>
        </w:rPr>
        <w:t>”  The scope also includes a preference for “Customized solutions with clearly articulated benefits to IPOPIF.”</w:t>
      </w:r>
    </w:p>
    <w:p w14:paraId="7FA894B3" w14:textId="77777777" w:rsidR="00756FF1" w:rsidRDefault="00756FF1" w:rsidP="00756FF1">
      <w:pPr>
        <w:ind w:left="720"/>
        <w:rPr>
          <w:rFonts w:cstheme="minorHAnsi"/>
          <w:szCs w:val="24"/>
        </w:rPr>
      </w:pPr>
    </w:p>
    <w:p w14:paraId="6C2EECC6" w14:textId="0437D56A" w:rsidR="00756FF1" w:rsidRPr="008E4812" w:rsidRDefault="00756FF1" w:rsidP="00756FF1">
      <w:pPr>
        <w:ind w:left="720"/>
        <w:rPr>
          <w:rFonts w:cstheme="minorHAnsi"/>
          <w:szCs w:val="24"/>
        </w:rPr>
      </w:pPr>
      <w:r w:rsidRPr="008E4812">
        <w:rPr>
          <w:rFonts w:cstheme="minorHAnsi"/>
          <w:szCs w:val="24"/>
        </w:rPr>
        <w:t xml:space="preserve">The structure defined in the question is an acceptable implementation method.  </w:t>
      </w:r>
    </w:p>
    <w:p w14:paraId="484B88C7" w14:textId="77777777" w:rsidR="00572EF2" w:rsidRPr="008E4812" w:rsidRDefault="00572EF2" w:rsidP="00756FF1">
      <w:pPr>
        <w:ind w:left="720"/>
        <w:rPr>
          <w:rFonts w:cstheme="minorHAnsi"/>
          <w:szCs w:val="24"/>
        </w:rPr>
      </w:pPr>
    </w:p>
    <w:p w14:paraId="4D2C5565" w14:textId="77777777" w:rsidR="00572EF2" w:rsidRPr="008E4812" w:rsidRDefault="00572EF2" w:rsidP="00756FF1">
      <w:pPr>
        <w:ind w:left="720"/>
        <w:rPr>
          <w:rFonts w:cstheme="minorHAnsi"/>
          <w:szCs w:val="24"/>
        </w:rPr>
      </w:pPr>
    </w:p>
    <w:p w14:paraId="1E5A8D2E" w14:textId="77777777" w:rsidR="008E4812" w:rsidRDefault="008E4812" w:rsidP="008E4812">
      <w:pPr>
        <w:pStyle w:val="ListParagraph"/>
        <w:numPr>
          <w:ilvl w:val="0"/>
          <w:numId w:val="6"/>
        </w:numPr>
        <w:spacing w:line="240" w:lineRule="auto"/>
        <w:ind w:hanging="720"/>
        <w:contextualSpacing w:val="0"/>
        <w:rPr>
          <w:rFonts w:eastAsia="Times New Roman"/>
          <w:b/>
          <w:bCs/>
          <w:szCs w:val="24"/>
        </w:rPr>
      </w:pPr>
      <w:r w:rsidRPr="008E4812">
        <w:rPr>
          <w:rFonts w:eastAsia="Times New Roman"/>
          <w:b/>
          <w:bCs/>
          <w:szCs w:val="24"/>
        </w:rPr>
        <w:t xml:space="preserve">Can firms respond with more than one strategy that could be a potential fit for this search? </w:t>
      </w:r>
    </w:p>
    <w:p w14:paraId="0C3AF879" w14:textId="77777777" w:rsidR="008E4812" w:rsidRDefault="008E4812" w:rsidP="008E4812">
      <w:pPr>
        <w:pStyle w:val="ListParagraph"/>
        <w:spacing w:line="240" w:lineRule="auto"/>
        <w:contextualSpacing w:val="0"/>
        <w:rPr>
          <w:rFonts w:eastAsia="Times New Roman"/>
          <w:b/>
          <w:bCs/>
          <w:szCs w:val="24"/>
        </w:rPr>
      </w:pPr>
    </w:p>
    <w:p w14:paraId="36955301" w14:textId="6D63551A" w:rsidR="008E4812" w:rsidRDefault="00800C4D" w:rsidP="008E4812">
      <w:pPr>
        <w:pStyle w:val="ListParagraph"/>
        <w:spacing w:line="240" w:lineRule="auto"/>
        <w:contextualSpacing w:val="0"/>
      </w:pPr>
      <w:r>
        <w:rPr>
          <w:rFonts w:eastAsia="Times New Roman"/>
          <w:szCs w:val="24"/>
        </w:rPr>
        <w:t>F</w:t>
      </w:r>
      <w:r w:rsidR="008E4812">
        <w:rPr>
          <w:rFonts w:eastAsia="Times New Roman"/>
          <w:szCs w:val="24"/>
        </w:rPr>
        <w:t xml:space="preserve">irms may </w:t>
      </w:r>
      <w:r>
        <w:rPr>
          <w:rFonts w:eastAsia="Times New Roman"/>
          <w:szCs w:val="24"/>
        </w:rPr>
        <w:t>submit more than one proposal but combining different strategies into a customized solution might be viewed as superior to separate proposals</w:t>
      </w:r>
      <w:r w:rsidR="008E4812">
        <w:rPr>
          <w:rFonts w:eastAsia="Times New Roman"/>
          <w:szCs w:val="24"/>
        </w:rPr>
        <w:t>.  From the RFP Scope “</w:t>
      </w:r>
      <w:r w:rsidR="008E4812">
        <w:t>IPOPIF will consider Fund-of-One “FOO” structures that are customizable to optimize IPOPIF’s unique start up profile and provide long term flexibility and optionality into the management of the mandate.”</w:t>
      </w:r>
    </w:p>
    <w:p w14:paraId="335AFDB6" w14:textId="77777777" w:rsidR="00365B3B" w:rsidRDefault="00365B3B" w:rsidP="008E4812">
      <w:pPr>
        <w:pStyle w:val="ListParagraph"/>
        <w:spacing w:line="240" w:lineRule="auto"/>
        <w:contextualSpacing w:val="0"/>
      </w:pPr>
    </w:p>
    <w:p w14:paraId="59445B42" w14:textId="77777777" w:rsidR="00365B3B" w:rsidRDefault="00365B3B" w:rsidP="008E4812">
      <w:pPr>
        <w:pStyle w:val="ListParagraph"/>
        <w:spacing w:line="240" w:lineRule="auto"/>
        <w:contextualSpacing w:val="0"/>
      </w:pPr>
    </w:p>
    <w:p w14:paraId="4270C5B7" w14:textId="77777777" w:rsidR="00365B3B" w:rsidRPr="00365B3B" w:rsidRDefault="00365B3B" w:rsidP="00365B3B">
      <w:pPr>
        <w:pStyle w:val="ListParagraph"/>
        <w:numPr>
          <w:ilvl w:val="0"/>
          <w:numId w:val="6"/>
        </w:numPr>
        <w:ind w:hanging="720"/>
        <w:rPr>
          <w:b/>
          <w:bCs/>
          <w:szCs w:val="24"/>
        </w:rPr>
      </w:pPr>
      <w:r w:rsidRPr="00365B3B">
        <w:rPr>
          <w:b/>
          <w:bCs/>
          <w:szCs w:val="24"/>
        </w:rPr>
        <w:t>Are you interested in receiving a submission for a direct real estate separate account that would hold the majority equity positions in individual properties with the goal of building a diversified non-core, directly held real estate portfolio?</w:t>
      </w:r>
    </w:p>
    <w:p w14:paraId="7B5DCF26" w14:textId="77777777" w:rsidR="00365B3B" w:rsidRPr="00365B3B" w:rsidRDefault="00365B3B" w:rsidP="00365B3B">
      <w:pPr>
        <w:pStyle w:val="ListParagraph"/>
        <w:rPr>
          <w:szCs w:val="24"/>
        </w:rPr>
      </w:pPr>
    </w:p>
    <w:p w14:paraId="58E0E48E" w14:textId="6BCCDED3" w:rsidR="00365B3B" w:rsidRDefault="00365B3B" w:rsidP="00365B3B">
      <w:pPr>
        <w:pStyle w:val="ListParagraph"/>
        <w:rPr>
          <w:szCs w:val="24"/>
        </w:rPr>
      </w:pPr>
      <w:r w:rsidRPr="00365B3B">
        <w:rPr>
          <w:szCs w:val="24"/>
        </w:rPr>
        <w:t>IPOPIF is open to the wide spectrum of solutions that could solve for the scope of services and preferences described in the RFP.  We note the RFP preference for administrative simplicity and single line-item reporting.</w:t>
      </w:r>
    </w:p>
    <w:p w14:paraId="06E572E2" w14:textId="77777777" w:rsidR="00E61A97" w:rsidRDefault="00E61A97" w:rsidP="00365B3B">
      <w:pPr>
        <w:pStyle w:val="ListParagraph"/>
        <w:rPr>
          <w:szCs w:val="24"/>
        </w:rPr>
      </w:pPr>
    </w:p>
    <w:p w14:paraId="430C411E" w14:textId="77777777" w:rsidR="00E61A97" w:rsidRDefault="00E61A97" w:rsidP="00365B3B">
      <w:pPr>
        <w:pStyle w:val="ListParagraph"/>
        <w:rPr>
          <w:szCs w:val="24"/>
        </w:rPr>
      </w:pPr>
    </w:p>
    <w:p w14:paraId="0674758B" w14:textId="268EB3E1" w:rsidR="00E61A97" w:rsidRPr="00E61A97" w:rsidRDefault="00E61A97" w:rsidP="00E61A97">
      <w:pPr>
        <w:pStyle w:val="PlainText"/>
        <w:numPr>
          <w:ilvl w:val="0"/>
          <w:numId w:val="6"/>
        </w:numPr>
        <w:ind w:hanging="720"/>
        <w:rPr>
          <w:b/>
          <w:bCs/>
          <w:sz w:val="24"/>
          <w:szCs w:val="24"/>
        </w:rPr>
      </w:pPr>
      <w:r w:rsidRPr="00E61A97">
        <w:rPr>
          <w:b/>
          <w:bCs/>
          <w:sz w:val="24"/>
          <w:szCs w:val="24"/>
        </w:rPr>
        <w:t>Regarding the "Public Records" section of the RFP, could IPOPIF confirm that information, data and materials designate</w:t>
      </w:r>
      <w:r w:rsidR="00A70CE6">
        <w:rPr>
          <w:b/>
          <w:bCs/>
          <w:sz w:val="24"/>
          <w:szCs w:val="24"/>
        </w:rPr>
        <w:t>d</w:t>
      </w:r>
      <w:r w:rsidRPr="00E61A97">
        <w:rPr>
          <w:b/>
          <w:bCs/>
          <w:sz w:val="24"/>
          <w:szCs w:val="24"/>
        </w:rPr>
        <w:t xml:space="preserve"> as trade secret or proprietary will be redacted from any publicly available version of the RFI/RFP and withheld in response to subsequent FOIA requests on the same basis? Separately, for prior RFPs, could IPOPIF summarize what information from RFI/RFP submissions has been made publicly available?</w:t>
      </w:r>
    </w:p>
    <w:p w14:paraId="32B20A60" w14:textId="77777777" w:rsidR="00E61A97" w:rsidRDefault="00E61A97" w:rsidP="00E61A97">
      <w:pPr>
        <w:rPr>
          <w:szCs w:val="24"/>
        </w:rPr>
      </w:pPr>
    </w:p>
    <w:p w14:paraId="0A0A55BF" w14:textId="2AF85490" w:rsidR="00810F5B" w:rsidRDefault="00810F5B" w:rsidP="00C3794A">
      <w:pPr>
        <w:ind w:left="720"/>
        <w:rPr>
          <w:szCs w:val="24"/>
        </w:rPr>
      </w:pPr>
      <w:r>
        <w:rPr>
          <w:szCs w:val="24"/>
        </w:rPr>
        <w:t xml:space="preserve">The Public Records section of the RPF (page 6) is explicit.  No additional confirmation, clarification, or summary will be provided.  </w:t>
      </w:r>
    </w:p>
    <w:p w14:paraId="2E3BF197" w14:textId="07A8EE9A" w:rsidR="00251720" w:rsidRPr="00582C9C" w:rsidRDefault="00582C9C" w:rsidP="00C3794A">
      <w:pPr>
        <w:ind w:left="720"/>
        <w:rPr>
          <w:i/>
          <w:iCs/>
          <w:szCs w:val="24"/>
        </w:rPr>
      </w:pPr>
      <w:r w:rsidRPr="00582C9C">
        <w:rPr>
          <w:i/>
          <w:iCs/>
        </w:rPr>
        <w:t>.</w:t>
      </w:r>
    </w:p>
    <w:p w14:paraId="75619D35" w14:textId="77777777" w:rsidR="00E61A97" w:rsidRDefault="00E61A97" w:rsidP="00E61A97">
      <w:pPr>
        <w:rPr>
          <w:szCs w:val="24"/>
        </w:rPr>
      </w:pPr>
    </w:p>
    <w:p w14:paraId="48E89984" w14:textId="55480727" w:rsidR="00E44A58" w:rsidRDefault="00E44A58" w:rsidP="00E44A58">
      <w:pPr>
        <w:pStyle w:val="PlainText"/>
        <w:numPr>
          <w:ilvl w:val="0"/>
          <w:numId w:val="6"/>
        </w:numPr>
        <w:ind w:hanging="720"/>
        <w:rPr>
          <w:b/>
          <w:bCs/>
          <w:sz w:val="24"/>
          <w:szCs w:val="24"/>
        </w:rPr>
      </w:pPr>
      <w:r w:rsidRPr="00E44A58">
        <w:rPr>
          <w:b/>
          <w:bCs/>
          <w:sz w:val="24"/>
          <w:szCs w:val="24"/>
        </w:rPr>
        <w:t>The "Search Preferences" on page 4 of the RFP note a preference for managers with at least $5 billion in real estate AUM.</w:t>
      </w:r>
      <w:r w:rsidR="00D30CED">
        <w:rPr>
          <w:b/>
          <w:bCs/>
          <w:sz w:val="24"/>
          <w:szCs w:val="24"/>
        </w:rPr>
        <w:t xml:space="preserve"> </w:t>
      </w:r>
      <w:r w:rsidRPr="00E44A58">
        <w:rPr>
          <w:b/>
          <w:bCs/>
          <w:sz w:val="24"/>
          <w:szCs w:val="24"/>
        </w:rPr>
        <w:t xml:space="preserve"> We understand that the RFP describes the listed items as preferences rather than minimum qualifications, and that IPOPIF may consider proposals that do not meet them. In practice, however, would IPOPIF still meaningfully consider a manager of</w:t>
      </w:r>
      <w:r w:rsidR="00A0448A">
        <w:rPr>
          <w:b/>
          <w:bCs/>
          <w:sz w:val="24"/>
          <w:szCs w:val="24"/>
        </w:rPr>
        <w:t xml:space="preserve"> this</w:t>
      </w:r>
      <w:r w:rsidRPr="00E44A58">
        <w:rPr>
          <w:b/>
          <w:bCs/>
          <w:sz w:val="24"/>
          <w:szCs w:val="24"/>
        </w:rPr>
        <w:t xml:space="preserve"> size for this mandate?</w:t>
      </w:r>
    </w:p>
    <w:p w14:paraId="47647D9F" w14:textId="77777777" w:rsidR="00504DDD" w:rsidRDefault="00504DDD" w:rsidP="00504DDD">
      <w:pPr>
        <w:pStyle w:val="PlainText"/>
        <w:rPr>
          <w:b/>
          <w:bCs/>
          <w:sz w:val="24"/>
          <w:szCs w:val="24"/>
        </w:rPr>
      </w:pPr>
    </w:p>
    <w:p w14:paraId="6C8C3E39" w14:textId="31CA13D3" w:rsidR="000F7811" w:rsidRDefault="007B6250" w:rsidP="000F7811">
      <w:pPr>
        <w:pStyle w:val="PlainText"/>
        <w:ind w:left="720"/>
        <w:rPr>
          <w:sz w:val="24"/>
          <w:szCs w:val="24"/>
        </w:rPr>
      </w:pPr>
      <w:r>
        <w:rPr>
          <w:sz w:val="24"/>
          <w:szCs w:val="24"/>
        </w:rPr>
        <w:t>Preferences are not minimum qualifications.</w:t>
      </w:r>
      <w:r w:rsidR="000F7811">
        <w:rPr>
          <w:sz w:val="24"/>
          <w:szCs w:val="24"/>
        </w:rPr>
        <w:t xml:space="preserve">  </w:t>
      </w:r>
      <w:r w:rsidR="000F7811" w:rsidRPr="000F7811">
        <w:rPr>
          <w:sz w:val="24"/>
          <w:szCs w:val="24"/>
        </w:rPr>
        <w:t>Staff and Consultant will evaluate the Exhibit 1 submissions for all candidates and identify</w:t>
      </w:r>
      <w:r w:rsidR="000F7811">
        <w:rPr>
          <w:sz w:val="24"/>
          <w:szCs w:val="24"/>
        </w:rPr>
        <w:t xml:space="preserve"> </w:t>
      </w:r>
      <w:r w:rsidR="000F7811" w:rsidRPr="000F7811">
        <w:rPr>
          <w:sz w:val="24"/>
          <w:szCs w:val="24"/>
        </w:rPr>
        <w:t>the highest caliber candidates.</w:t>
      </w:r>
    </w:p>
    <w:p w14:paraId="719ECEA3" w14:textId="77777777" w:rsidR="00D00605" w:rsidRDefault="00D00605" w:rsidP="000F7811">
      <w:pPr>
        <w:pStyle w:val="PlainText"/>
        <w:ind w:left="720"/>
        <w:rPr>
          <w:sz w:val="24"/>
          <w:szCs w:val="24"/>
        </w:rPr>
      </w:pPr>
    </w:p>
    <w:p w14:paraId="2BF9AE00" w14:textId="7DDC8DEB" w:rsidR="00D00605" w:rsidRDefault="002215A1" w:rsidP="002215A1">
      <w:pPr>
        <w:pStyle w:val="PlainText"/>
        <w:ind w:left="720"/>
        <w:jc w:val="center"/>
        <w:rPr>
          <w:sz w:val="24"/>
          <w:szCs w:val="24"/>
        </w:rPr>
      </w:pPr>
      <w:r>
        <w:rPr>
          <w:sz w:val="24"/>
          <w:szCs w:val="24"/>
        </w:rPr>
        <w:t>June 10, 2026</w:t>
      </w:r>
    </w:p>
    <w:p w14:paraId="02E63C68" w14:textId="1D340968" w:rsidR="00D31DED" w:rsidRPr="00D31DED" w:rsidRDefault="00D31DED" w:rsidP="00D31DED">
      <w:pPr>
        <w:pStyle w:val="PlainText"/>
        <w:numPr>
          <w:ilvl w:val="0"/>
          <w:numId w:val="6"/>
        </w:numPr>
        <w:ind w:hanging="720"/>
        <w:rPr>
          <w:b/>
          <w:bCs/>
          <w:sz w:val="24"/>
          <w:szCs w:val="24"/>
        </w:rPr>
      </w:pPr>
      <w:r>
        <w:rPr>
          <w:b/>
          <w:bCs/>
          <w:sz w:val="24"/>
          <w:szCs w:val="24"/>
        </w:rPr>
        <w:t>Could you please provide clarification on the following question from the questionnaire?</w:t>
      </w:r>
    </w:p>
    <w:p w14:paraId="38513907" w14:textId="77777777" w:rsidR="00D31DED" w:rsidRDefault="00D31DED" w:rsidP="00D31DED">
      <w:pPr>
        <w:pStyle w:val="ListParagraph"/>
        <w:spacing w:line="240" w:lineRule="auto"/>
        <w:contextualSpacing w:val="0"/>
        <w:rPr>
          <w:rFonts w:eastAsia="Times New Roman"/>
          <w:b/>
          <w:bCs/>
          <w:lang w:val="en-GB"/>
        </w:rPr>
      </w:pPr>
    </w:p>
    <w:p w14:paraId="5D49BE17" w14:textId="7059990B" w:rsidR="00D31DED" w:rsidRPr="00577E13" w:rsidRDefault="00D31DED" w:rsidP="00D31DED">
      <w:pPr>
        <w:pStyle w:val="ListParagraph"/>
        <w:spacing w:line="240" w:lineRule="auto"/>
        <w:contextualSpacing w:val="0"/>
        <w:rPr>
          <w:rFonts w:eastAsia="Times New Roman"/>
          <w:b/>
          <w:bCs/>
          <w:lang w:val="en-GB"/>
        </w:rPr>
      </w:pPr>
      <w:r>
        <w:rPr>
          <w:rFonts w:eastAsia="Times New Roman"/>
          <w:b/>
          <w:bCs/>
          <w:lang w:val="en-GB"/>
        </w:rPr>
        <w:t>Question 26- Exhibit 2 (Performance Track Record)</w:t>
      </w:r>
      <w:r>
        <w:rPr>
          <w:rFonts w:eastAsia="Times New Roman"/>
          <w:lang w:val="en-GB"/>
        </w:rPr>
        <w:t xml:space="preserve"> </w:t>
      </w:r>
      <w:r w:rsidRPr="00577E13">
        <w:rPr>
          <w:rFonts w:eastAsia="Times New Roman"/>
          <w:b/>
          <w:bCs/>
          <w:lang w:val="en-GB"/>
        </w:rPr>
        <w:t xml:space="preserve">Provide your firm’s performance track record using Net IRR and Net TVPI as follows: </w:t>
      </w:r>
    </w:p>
    <w:p w14:paraId="710E6047" w14:textId="77777777" w:rsidR="00D31DED" w:rsidRPr="00577E13" w:rsidRDefault="00D31DED" w:rsidP="00D31DED">
      <w:pPr>
        <w:numPr>
          <w:ilvl w:val="1"/>
          <w:numId w:val="9"/>
        </w:numPr>
        <w:spacing w:line="240" w:lineRule="auto"/>
        <w:rPr>
          <w:rFonts w:eastAsia="Times New Roman"/>
          <w:b/>
          <w:bCs/>
          <w:lang w:val="en-GB"/>
        </w:rPr>
      </w:pPr>
      <w:r w:rsidRPr="00577E13">
        <w:rPr>
          <w:rFonts w:eastAsia="Times New Roman"/>
          <w:b/>
          <w:bCs/>
          <w:lang w:val="en-GB"/>
        </w:rPr>
        <w:t xml:space="preserve">By aggregate commingled fund type (Primary funds, Secondary funds, Co-investments)  </w:t>
      </w:r>
    </w:p>
    <w:p w14:paraId="4F908186" w14:textId="77777777" w:rsidR="00D31DED" w:rsidRPr="00577E13" w:rsidRDefault="00D31DED" w:rsidP="00D31DED">
      <w:pPr>
        <w:numPr>
          <w:ilvl w:val="1"/>
          <w:numId w:val="9"/>
        </w:numPr>
        <w:spacing w:line="240" w:lineRule="auto"/>
        <w:rPr>
          <w:rFonts w:eastAsia="Times New Roman"/>
          <w:b/>
          <w:bCs/>
          <w:lang w:val="en-GB"/>
        </w:rPr>
      </w:pPr>
      <w:r w:rsidRPr="00577E13">
        <w:rPr>
          <w:rFonts w:eastAsia="Times New Roman"/>
          <w:b/>
          <w:bCs/>
          <w:lang w:val="en-GB"/>
        </w:rPr>
        <w:t xml:space="preserve">By all relevant SMA/FOO/customized vehicles </w:t>
      </w:r>
    </w:p>
    <w:p w14:paraId="75C5C3B9" w14:textId="77777777" w:rsidR="00D31DED" w:rsidRPr="00577E13" w:rsidRDefault="00D31DED" w:rsidP="00D31DED">
      <w:pPr>
        <w:numPr>
          <w:ilvl w:val="1"/>
          <w:numId w:val="9"/>
        </w:numPr>
        <w:spacing w:line="240" w:lineRule="auto"/>
        <w:rPr>
          <w:rFonts w:eastAsia="Times New Roman"/>
          <w:b/>
          <w:bCs/>
          <w:lang w:val="en-GB"/>
        </w:rPr>
      </w:pPr>
      <w:r w:rsidRPr="00577E13">
        <w:rPr>
          <w:rFonts w:eastAsia="Times New Roman"/>
          <w:b/>
          <w:bCs/>
          <w:lang w:val="en-GB"/>
        </w:rPr>
        <w:t>By all direct investments that the firm has made since inception</w:t>
      </w:r>
    </w:p>
    <w:p w14:paraId="3EF28C70" w14:textId="77777777" w:rsidR="00D31DED" w:rsidRDefault="00D31DED" w:rsidP="00D31DED">
      <w:pPr>
        <w:rPr>
          <w:lang w:val="en-GB"/>
        </w:rPr>
      </w:pPr>
    </w:p>
    <w:p w14:paraId="7A0284D1" w14:textId="5B23A03C" w:rsidR="00D31DED" w:rsidRPr="00D31DED" w:rsidRDefault="00D31DED" w:rsidP="00D31DED">
      <w:pPr>
        <w:ind w:firstLine="720"/>
        <w:rPr>
          <w:b/>
          <w:bCs/>
          <w:lang w:val="en-GB"/>
        </w:rPr>
      </w:pPr>
      <w:r w:rsidRPr="00D31DED">
        <w:rPr>
          <w:b/>
          <w:bCs/>
          <w:lang w:val="en-GB"/>
        </w:rPr>
        <w:t>Are you able to confirm the preferred approach to presenting performance data:</w:t>
      </w:r>
    </w:p>
    <w:p w14:paraId="4DAE47DA" w14:textId="77777777" w:rsidR="00D31DED" w:rsidRPr="00D31DED" w:rsidRDefault="00D31DED" w:rsidP="00577E13">
      <w:pPr>
        <w:numPr>
          <w:ilvl w:val="0"/>
          <w:numId w:val="10"/>
        </w:numPr>
        <w:spacing w:line="240" w:lineRule="auto"/>
        <w:ind w:left="1440"/>
        <w:rPr>
          <w:rFonts w:eastAsia="Times New Roman"/>
          <w:b/>
          <w:bCs/>
          <w:lang w:val="en-GB"/>
        </w:rPr>
      </w:pPr>
      <w:r w:rsidRPr="00D31DED">
        <w:rPr>
          <w:rFonts w:eastAsia="Times New Roman"/>
          <w:b/>
          <w:bCs/>
          <w:lang w:val="en-GB"/>
        </w:rPr>
        <w:t>For a) and b), we would typically present performance using time weighted returns, which we consider more appropriate for our Private Real Estate track record. Please confirm whether this approach would be acceptable in lieu of Net IRR and Net TVPI?</w:t>
      </w:r>
    </w:p>
    <w:p w14:paraId="32074ED6" w14:textId="77777777" w:rsidR="00D31DED" w:rsidRPr="00D31DED" w:rsidRDefault="00D31DED" w:rsidP="00577E13">
      <w:pPr>
        <w:numPr>
          <w:ilvl w:val="0"/>
          <w:numId w:val="10"/>
        </w:numPr>
        <w:spacing w:line="240" w:lineRule="auto"/>
        <w:ind w:left="1440"/>
        <w:rPr>
          <w:rFonts w:eastAsia="Times New Roman"/>
          <w:b/>
          <w:bCs/>
          <w:lang w:val="en-GB"/>
        </w:rPr>
      </w:pPr>
      <w:r w:rsidRPr="00D31DED">
        <w:rPr>
          <w:rFonts w:eastAsia="Times New Roman"/>
          <w:b/>
          <w:bCs/>
          <w:lang w:val="en-GB"/>
        </w:rPr>
        <w:t xml:space="preserve">For c), could you please clarify how ‘direct investments’ are defined for the purpose of this question? </w:t>
      </w:r>
      <w:r w:rsidRPr="00D31DED">
        <w:rPr>
          <w:rFonts w:eastAsia="Times New Roman"/>
          <w:b/>
          <w:bCs/>
        </w:rPr>
        <w:t>Our investment experience includes transactions providing effective exposure comparable to direct investment, including co-investments alongside specialist operators, programmatic ventures, and recapitalizations. Please confirm whether it would be appropriate to include these under this category?</w:t>
      </w:r>
    </w:p>
    <w:p w14:paraId="476588FC" w14:textId="77777777" w:rsidR="00D31DED" w:rsidRDefault="00D31DED" w:rsidP="00D31DED">
      <w:pPr>
        <w:spacing w:line="240" w:lineRule="auto"/>
        <w:rPr>
          <w:rFonts w:eastAsia="Times New Roman"/>
          <w:b/>
          <w:bCs/>
        </w:rPr>
      </w:pPr>
    </w:p>
    <w:p w14:paraId="2C047D48" w14:textId="77777777" w:rsidR="00C628CA" w:rsidRPr="00124CD1" w:rsidRDefault="00A70266" w:rsidP="00124CD1">
      <w:pPr>
        <w:spacing w:line="240" w:lineRule="auto"/>
        <w:ind w:left="720"/>
        <w:rPr>
          <w:rFonts w:eastAsia="Times New Roman"/>
        </w:rPr>
      </w:pPr>
      <w:r w:rsidRPr="00124CD1">
        <w:rPr>
          <w:rFonts w:eastAsia="Times New Roman"/>
        </w:rPr>
        <w:t>Please provide</w:t>
      </w:r>
      <w:r w:rsidR="00D31DED" w:rsidRPr="00124CD1">
        <w:rPr>
          <w:rFonts w:eastAsia="Times New Roman"/>
        </w:rPr>
        <w:t xml:space="preserve"> </w:t>
      </w:r>
      <w:r w:rsidR="002215A1" w:rsidRPr="00124CD1">
        <w:rPr>
          <w:rFonts w:eastAsia="Times New Roman"/>
        </w:rPr>
        <w:t xml:space="preserve">Net IRR and Net TVPI as requested.  Time weighted returns may be provided as additional information under this question.  </w:t>
      </w:r>
    </w:p>
    <w:p w14:paraId="68156518" w14:textId="77777777" w:rsidR="00C628CA" w:rsidRPr="00C628CA" w:rsidRDefault="00C628CA" w:rsidP="00C628CA">
      <w:pPr>
        <w:spacing w:line="240" w:lineRule="auto"/>
        <w:ind w:left="720"/>
        <w:rPr>
          <w:rFonts w:eastAsia="Times New Roman"/>
        </w:rPr>
      </w:pPr>
    </w:p>
    <w:p w14:paraId="7AE6E467" w14:textId="0F6836A1" w:rsidR="00D31DED" w:rsidRPr="00124CD1" w:rsidRDefault="00E72856" w:rsidP="00124CD1">
      <w:pPr>
        <w:spacing w:line="240" w:lineRule="auto"/>
        <w:ind w:left="720"/>
        <w:rPr>
          <w:rFonts w:eastAsia="Times New Roman"/>
          <w:lang w:val="en-GB"/>
        </w:rPr>
      </w:pPr>
      <w:r w:rsidRPr="00124CD1">
        <w:rPr>
          <w:rFonts w:eastAsia="Times New Roman"/>
        </w:rPr>
        <w:t>Direct investments relate to capital that has been invested directly into companies or properties.  The goal of question 26 is to allow responders to aggregate their track records into one of three large categories (direct investments, customized structures or other fund types).</w:t>
      </w:r>
    </w:p>
    <w:p w14:paraId="706C87F7" w14:textId="77777777" w:rsidR="00D31DED" w:rsidRDefault="00D31DED" w:rsidP="00D31DED">
      <w:pPr>
        <w:spacing w:line="240" w:lineRule="auto"/>
        <w:rPr>
          <w:rFonts w:eastAsia="Times New Roman"/>
          <w:color w:val="0070C0"/>
        </w:rPr>
      </w:pPr>
    </w:p>
    <w:p w14:paraId="03F163AB" w14:textId="77777777" w:rsidR="00D31DED" w:rsidRDefault="00D31DED" w:rsidP="00D31DED">
      <w:pPr>
        <w:spacing w:line="240" w:lineRule="auto"/>
        <w:rPr>
          <w:rFonts w:eastAsia="Times New Roman"/>
          <w:color w:val="0070C0"/>
        </w:rPr>
      </w:pPr>
    </w:p>
    <w:p w14:paraId="02F96AB2" w14:textId="77777777" w:rsidR="00D31DED" w:rsidRPr="00D31DED" w:rsidRDefault="00D31DED" w:rsidP="00D31DED">
      <w:pPr>
        <w:pStyle w:val="ListParagraph"/>
        <w:numPr>
          <w:ilvl w:val="0"/>
          <w:numId w:val="6"/>
        </w:numPr>
        <w:spacing w:line="240" w:lineRule="auto"/>
        <w:ind w:hanging="720"/>
        <w:rPr>
          <w:rFonts w:eastAsia="Times New Roman"/>
          <w:b/>
          <w:bCs/>
          <w:lang w:val="en-GB"/>
        </w:rPr>
      </w:pPr>
      <w:r w:rsidRPr="00360D85">
        <w:rPr>
          <w:b/>
          <w:bCs/>
          <w:lang w:val="en-GB"/>
        </w:rPr>
        <w:t>In relation to</w:t>
      </w:r>
      <w:r w:rsidRPr="00D31DED">
        <w:rPr>
          <w:lang w:val="en-GB"/>
        </w:rPr>
        <w:t xml:space="preserve"> </w:t>
      </w:r>
      <w:r w:rsidRPr="00D31DED">
        <w:rPr>
          <w:b/>
          <w:bCs/>
          <w:lang w:val="en-GB"/>
        </w:rPr>
        <w:t>Section K on References</w:t>
      </w:r>
      <w:r w:rsidRPr="00D31DED">
        <w:rPr>
          <w:lang w:val="en-GB"/>
        </w:rPr>
        <w:t xml:space="preserve">: </w:t>
      </w:r>
    </w:p>
    <w:p w14:paraId="00BF3422" w14:textId="7A89591A" w:rsidR="00D00605" w:rsidRDefault="00D31DED" w:rsidP="00E72856">
      <w:pPr>
        <w:ind w:left="720"/>
        <w:rPr>
          <w:b/>
          <w:bCs/>
          <w:lang w:val="en-GB"/>
        </w:rPr>
      </w:pPr>
      <w:r w:rsidRPr="00E72856">
        <w:rPr>
          <w:b/>
          <w:bCs/>
          <w:lang w:val="en-GB"/>
        </w:rPr>
        <w:t xml:space="preserve">We </w:t>
      </w:r>
      <w:proofErr w:type="gramStart"/>
      <w:r w:rsidRPr="00E72856">
        <w:rPr>
          <w:b/>
          <w:bCs/>
          <w:lang w:val="en-GB"/>
        </w:rPr>
        <w:t>are not able to</w:t>
      </w:r>
      <w:proofErr w:type="gramEnd"/>
      <w:r w:rsidRPr="00E72856">
        <w:rPr>
          <w:b/>
          <w:bCs/>
          <w:lang w:val="en-GB"/>
        </w:rPr>
        <w:t xml:space="preserve"> provide exclusively U.S. current public pension fund references. However, we can provide a combination of U.S. and global public pension plan client contacts. Please confirm whether this would be acceptable?</w:t>
      </w:r>
    </w:p>
    <w:p w14:paraId="72DBE631" w14:textId="77777777" w:rsidR="00E72856" w:rsidRDefault="00E72856" w:rsidP="00E72856">
      <w:pPr>
        <w:ind w:left="720"/>
        <w:rPr>
          <w:b/>
          <w:bCs/>
          <w:lang w:val="en-GB"/>
        </w:rPr>
      </w:pPr>
    </w:p>
    <w:p w14:paraId="1A8083CA" w14:textId="2AA0E46A" w:rsidR="00A70266" w:rsidRDefault="00FF00E7" w:rsidP="00E72856">
      <w:pPr>
        <w:ind w:left="720"/>
        <w:rPr>
          <w:lang w:val="en-GB"/>
        </w:rPr>
      </w:pPr>
      <w:r>
        <w:rPr>
          <w:lang w:val="en-GB"/>
        </w:rPr>
        <w:t xml:space="preserve">To the extent that a respondent is unable to provide </w:t>
      </w:r>
      <w:r w:rsidR="00E35097">
        <w:rPr>
          <w:lang w:val="en-GB"/>
        </w:rPr>
        <w:t>references as requested</w:t>
      </w:r>
      <w:r>
        <w:rPr>
          <w:lang w:val="en-GB"/>
        </w:rPr>
        <w:t xml:space="preserve">, please explain and provide </w:t>
      </w:r>
      <w:r w:rsidR="00E35097">
        <w:rPr>
          <w:lang w:val="en-GB"/>
        </w:rPr>
        <w:t>alternate</w:t>
      </w:r>
      <w:r w:rsidR="00A70266">
        <w:rPr>
          <w:lang w:val="en-GB"/>
        </w:rPr>
        <w:t xml:space="preserve"> references.</w:t>
      </w:r>
    </w:p>
    <w:p w14:paraId="4923467B" w14:textId="77777777" w:rsidR="00A70266" w:rsidRDefault="00A70266" w:rsidP="00E72856">
      <w:pPr>
        <w:ind w:left="720"/>
        <w:rPr>
          <w:lang w:val="en-GB"/>
        </w:rPr>
      </w:pPr>
    </w:p>
    <w:p w14:paraId="6AC26F9C" w14:textId="77777777" w:rsidR="00E61A97" w:rsidRPr="00E61A97" w:rsidRDefault="00E61A97" w:rsidP="00E61A97">
      <w:pPr>
        <w:rPr>
          <w:szCs w:val="24"/>
        </w:rPr>
      </w:pPr>
    </w:p>
    <w:p w14:paraId="4881DB21" w14:textId="77777777" w:rsidR="00365B3B" w:rsidRPr="008E4812" w:rsidRDefault="00365B3B" w:rsidP="00365B3B">
      <w:pPr>
        <w:pStyle w:val="ListParagraph"/>
        <w:spacing w:line="240" w:lineRule="auto"/>
        <w:contextualSpacing w:val="0"/>
        <w:rPr>
          <w:rFonts w:eastAsia="Times New Roman"/>
          <w:szCs w:val="24"/>
        </w:rPr>
      </w:pPr>
    </w:p>
    <w:p w14:paraId="59E754B5" w14:textId="77777777" w:rsidR="00572EF2" w:rsidRPr="008E4812" w:rsidRDefault="00572EF2" w:rsidP="008E4812">
      <w:pPr>
        <w:ind w:left="360"/>
        <w:rPr>
          <w:rFonts w:cstheme="minorHAnsi"/>
          <w:szCs w:val="24"/>
        </w:rPr>
      </w:pPr>
    </w:p>
    <w:p w14:paraId="6C862201" w14:textId="77777777" w:rsidR="003B0BAE" w:rsidRPr="00CB3726" w:rsidRDefault="003B0BAE" w:rsidP="00CB3726">
      <w:pPr>
        <w:rPr>
          <w:sz w:val="22"/>
        </w:rPr>
      </w:pPr>
    </w:p>
    <w:p w14:paraId="0AD11A57" w14:textId="77777777" w:rsidR="00335E01" w:rsidRPr="00335E01" w:rsidRDefault="00335E01" w:rsidP="00335E01">
      <w:pPr>
        <w:ind w:left="720"/>
        <w:rPr>
          <w:sz w:val="22"/>
        </w:rPr>
      </w:pPr>
    </w:p>
    <w:p w14:paraId="4D354520" w14:textId="77777777" w:rsidR="00B238F4" w:rsidRPr="00335E01" w:rsidRDefault="00B238F4" w:rsidP="00335E01">
      <w:pPr>
        <w:spacing w:line="240" w:lineRule="auto"/>
        <w:ind w:left="720"/>
        <w:rPr>
          <w:rFonts w:cstheme="minorHAnsi"/>
          <w:szCs w:val="24"/>
        </w:rPr>
      </w:pPr>
    </w:p>
    <w:sectPr w:rsidR="00B238F4" w:rsidRPr="00335E01" w:rsidSect="00C141EF">
      <w:headerReference w:type="first" r:id="rId12"/>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B9C6" w14:textId="77777777" w:rsidR="0018671F" w:rsidRDefault="0018671F" w:rsidP="00575E3C">
      <w:pPr>
        <w:spacing w:line="240" w:lineRule="auto"/>
      </w:pPr>
      <w:r>
        <w:separator/>
      </w:r>
    </w:p>
  </w:endnote>
  <w:endnote w:type="continuationSeparator" w:id="0">
    <w:p w14:paraId="0B287939" w14:textId="77777777" w:rsidR="0018671F" w:rsidRDefault="0018671F" w:rsidP="00575E3C">
      <w:pPr>
        <w:spacing w:line="240" w:lineRule="auto"/>
      </w:pPr>
      <w:r>
        <w:continuationSeparator/>
      </w:r>
    </w:p>
  </w:endnote>
  <w:endnote w:type="continuationNotice" w:id="1">
    <w:p w14:paraId="0332A538" w14:textId="77777777" w:rsidR="0018671F" w:rsidRDefault="001867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587F" w14:textId="77777777" w:rsidR="0018671F" w:rsidRDefault="0018671F" w:rsidP="00575E3C">
      <w:pPr>
        <w:spacing w:line="240" w:lineRule="auto"/>
      </w:pPr>
      <w:r>
        <w:separator/>
      </w:r>
    </w:p>
  </w:footnote>
  <w:footnote w:type="continuationSeparator" w:id="0">
    <w:p w14:paraId="535E4D24" w14:textId="77777777" w:rsidR="0018671F" w:rsidRDefault="0018671F" w:rsidP="00575E3C">
      <w:pPr>
        <w:spacing w:line="240" w:lineRule="auto"/>
      </w:pPr>
      <w:r>
        <w:continuationSeparator/>
      </w:r>
    </w:p>
  </w:footnote>
  <w:footnote w:type="continuationNotice" w:id="1">
    <w:p w14:paraId="2CD3E4F3" w14:textId="77777777" w:rsidR="0018671F" w:rsidRDefault="001867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9264"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927"/>
    <w:multiLevelType w:val="hybridMultilevel"/>
    <w:tmpl w:val="102CCD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3205E0"/>
    <w:multiLevelType w:val="hybridMultilevel"/>
    <w:tmpl w:val="02D4F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C916B7"/>
    <w:multiLevelType w:val="hybridMultilevel"/>
    <w:tmpl w:val="27C06C2E"/>
    <w:lvl w:ilvl="0" w:tplc="9806A83E">
      <w:start w:val="1"/>
      <w:numFmt w:val="bullet"/>
      <w:lvlText w:val=""/>
      <w:lvlJc w:val="left"/>
      <w:pPr>
        <w:ind w:left="1080" w:hanging="360"/>
      </w:pPr>
      <w:rPr>
        <w:rFonts w:ascii="Symbol" w:hAnsi="Symbol" w:hint="default"/>
        <w:color w:val="0000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42C950E8"/>
    <w:multiLevelType w:val="hybridMultilevel"/>
    <w:tmpl w:val="5212EF9C"/>
    <w:lvl w:ilvl="0" w:tplc="D88E514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173737"/>
    <w:multiLevelType w:val="hybridMultilevel"/>
    <w:tmpl w:val="18F0007E"/>
    <w:lvl w:ilvl="0" w:tplc="BB12395E">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1DF2D54"/>
    <w:multiLevelType w:val="hybridMultilevel"/>
    <w:tmpl w:val="99421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6D2FEF"/>
    <w:multiLevelType w:val="multilevel"/>
    <w:tmpl w:val="51E2D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FAB5002"/>
    <w:multiLevelType w:val="hybridMultilevel"/>
    <w:tmpl w:val="5AEC9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194080">
    <w:abstractNumId w:val="10"/>
  </w:num>
  <w:num w:numId="2" w16cid:durableId="2116972465">
    <w:abstractNumId w:val="2"/>
  </w:num>
  <w:num w:numId="3" w16cid:durableId="963384859">
    <w:abstractNumId w:val="4"/>
  </w:num>
  <w:num w:numId="4" w16cid:durableId="1913153551">
    <w:abstractNumId w:val="6"/>
  </w:num>
  <w:num w:numId="5" w16cid:durableId="1858346553">
    <w:abstractNumId w:val="1"/>
  </w:num>
  <w:num w:numId="6" w16cid:durableId="2084063530">
    <w:abstractNumId w:val="7"/>
  </w:num>
  <w:num w:numId="7" w16cid:durableId="1336767172">
    <w:abstractNumId w:val="8"/>
  </w:num>
  <w:num w:numId="8" w16cid:durableId="947741551">
    <w:abstractNumId w:val="5"/>
  </w:num>
  <w:num w:numId="9" w16cid:durableId="2014138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654601">
    <w:abstractNumId w:val="3"/>
  </w:num>
  <w:num w:numId="11" w16cid:durableId="58846203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56D"/>
    <w:rsid w:val="000016C6"/>
    <w:rsid w:val="000017F4"/>
    <w:rsid w:val="00001D31"/>
    <w:rsid w:val="00004A02"/>
    <w:rsid w:val="00004E2B"/>
    <w:rsid w:val="00005831"/>
    <w:rsid w:val="00005FF9"/>
    <w:rsid w:val="00006399"/>
    <w:rsid w:val="000072AE"/>
    <w:rsid w:val="000105DA"/>
    <w:rsid w:val="00011D03"/>
    <w:rsid w:val="000123FC"/>
    <w:rsid w:val="00012E2E"/>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7C8"/>
    <w:rsid w:val="00063C03"/>
    <w:rsid w:val="00064D65"/>
    <w:rsid w:val="00065D34"/>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3C61"/>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4127"/>
    <w:rsid w:val="000F5DAB"/>
    <w:rsid w:val="000F682D"/>
    <w:rsid w:val="000F6FC2"/>
    <w:rsid w:val="000F7811"/>
    <w:rsid w:val="000F7EAD"/>
    <w:rsid w:val="000F7FF1"/>
    <w:rsid w:val="001001EC"/>
    <w:rsid w:val="001007E2"/>
    <w:rsid w:val="00101F32"/>
    <w:rsid w:val="001036E4"/>
    <w:rsid w:val="0010494E"/>
    <w:rsid w:val="001053E8"/>
    <w:rsid w:val="00105C15"/>
    <w:rsid w:val="001063D6"/>
    <w:rsid w:val="00107691"/>
    <w:rsid w:val="0011175E"/>
    <w:rsid w:val="00111B63"/>
    <w:rsid w:val="001120C8"/>
    <w:rsid w:val="00113194"/>
    <w:rsid w:val="00113FF7"/>
    <w:rsid w:val="001141A3"/>
    <w:rsid w:val="00114BC8"/>
    <w:rsid w:val="00116118"/>
    <w:rsid w:val="00116224"/>
    <w:rsid w:val="001172D5"/>
    <w:rsid w:val="00117E23"/>
    <w:rsid w:val="00121928"/>
    <w:rsid w:val="0012195E"/>
    <w:rsid w:val="0012222B"/>
    <w:rsid w:val="00122380"/>
    <w:rsid w:val="00124CD1"/>
    <w:rsid w:val="001254BF"/>
    <w:rsid w:val="0012590D"/>
    <w:rsid w:val="00126744"/>
    <w:rsid w:val="00126939"/>
    <w:rsid w:val="001300D3"/>
    <w:rsid w:val="00134918"/>
    <w:rsid w:val="00134FF0"/>
    <w:rsid w:val="001355FC"/>
    <w:rsid w:val="00135651"/>
    <w:rsid w:val="00136306"/>
    <w:rsid w:val="00136CAA"/>
    <w:rsid w:val="001376AF"/>
    <w:rsid w:val="00137EBF"/>
    <w:rsid w:val="00140C34"/>
    <w:rsid w:val="0014154A"/>
    <w:rsid w:val="00141578"/>
    <w:rsid w:val="00141B37"/>
    <w:rsid w:val="001426D5"/>
    <w:rsid w:val="00142B45"/>
    <w:rsid w:val="0014333C"/>
    <w:rsid w:val="00144080"/>
    <w:rsid w:val="0014521E"/>
    <w:rsid w:val="00146993"/>
    <w:rsid w:val="00150BDC"/>
    <w:rsid w:val="00153C79"/>
    <w:rsid w:val="0015625A"/>
    <w:rsid w:val="00156D87"/>
    <w:rsid w:val="001575E4"/>
    <w:rsid w:val="00160600"/>
    <w:rsid w:val="001615D5"/>
    <w:rsid w:val="00163603"/>
    <w:rsid w:val="001645AE"/>
    <w:rsid w:val="0016466C"/>
    <w:rsid w:val="001648FF"/>
    <w:rsid w:val="0016609C"/>
    <w:rsid w:val="00166782"/>
    <w:rsid w:val="00166BA2"/>
    <w:rsid w:val="001679A3"/>
    <w:rsid w:val="001703FC"/>
    <w:rsid w:val="0017081F"/>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671F"/>
    <w:rsid w:val="00187363"/>
    <w:rsid w:val="0018774D"/>
    <w:rsid w:val="00191096"/>
    <w:rsid w:val="00191548"/>
    <w:rsid w:val="00191957"/>
    <w:rsid w:val="00191A95"/>
    <w:rsid w:val="001929EA"/>
    <w:rsid w:val="00194364"/>
    <w:rsid w:val="00194AC9"/>
    <w:rsid w:val="00195766"/>
    <w:rsid w:val="00196AB7"/>
    <w:rsid w:val="001977FE"/>
    <w:rsid w:val="00197FDB"/>
    <w:rsid w:val="001A0268"/>
    <w:rsid w:val="001A1590"/>
    <w:rsid w:val="001A214F"/>
    <w:rsid w:val="001A2CD2"/>
    <w:rsid w:val="001A347A"/>
    <w:rsid w:val="001A484F"/>
    <w:rsid w:val="001A498C"/>
    <w:rsid w:val="001A4BE9"/>
    <w:rsid w:val="001A5492"/>
    <w:rsid w:val="001A5678"/>
    <w:rsid w:val="001A5CBB"/>
    <w:rsid w:val="001A5F48"/>
    <w:rsid w:val="001A6055"/>
    <w:rsid w:val="001A62E8"/>
    <w:rsid w:val="001A6342"/>
    <w:rsid w:val="001A71B0"/>
    <w:rsid w:val="001A76A5"/>
    <w:rsid w:val="001B2277"/>
    <w:rsid w:val="001B3ACA"/>
    <w:rsid w:val="001B6515"/>
    <w:rsid w:val="001B79B9"/>
    <w:rsid w:val="001B7BB1"/>
    <w:rsid w:val="001C01EE"/>
    <w:rsid w:val="001C1541"/>
    <w:rsid w:val="001C1B21"/>
    <w:rsid w:val="001C1C5C"/>
    <w:rsid w:val="001C22C0"/>
    <w:rsid w:val="001C369C"/>
    <w:rsid w:val="001C7663"/>
    <w:rsid w:val="001C776A"/>
    <w:rsid w:val="001C7B43"/>
    <w:rsid w:val="001D0184"/>
    <w:rsid w:val="001D0EA6"/>
    <w:rsid w:val="001D2204"/>
    <w:rsid w:val="001D29FD"/>
    <w:rsid w:val="001D3805"/>
    <w:rsid w:val="001D3EE2"/>
    <w:rsid w:val="001D64E6"/>
    <w:rsid w:val="001D66C6"/>
    <w:rsid w:val="001E02AC"/>
    <w:rsid w:val="001E2D16"/>
    <w:rsid w:val="001E2F3D"/>
    <w:rsid w:val="001E321C"/>
    <w:rsid w:val="001E4206"/>
    <w:rsid w:val="001E4642"/>
    <w:rsid w:val="001E4BAB"/>
    <w:rsid w:val="001E5993"/>
    <w:rsid w:val="001E6BF3"/>
    <w:rsid w:val="001F3BC6"/>
    <w:rsid w:val="001F42F0"/>
    <w:rsid w:val="001F6D1C"/>
    <w:rsid w:val="001F787B"/>
    <w:rsid w:val="001F78BB"/>
    <w:rsid w:val="001F7972"/>
    <w:rsid w:val="00202AD4"/>
    <w:rsid w:val="00202AFD"/>
    <w:rsid w:val="002037D3"/>
    <w:rsid w:val="00203B52"/>
    <w:rsid w:val="00204A19"/>
    <w:rsid w:val="002050FD"/>
    <w:rsid w:val="00205E0E"/>
    <w:rsid w:val="00205FF0"/>
    <w:rsid w:val="002078DC"/>
    <w:rsid w:val="0021019C"/>
    <w:rsid w:val="00210CEC"/>
    <w:rsid w:val="00211D84"/>
    <w:rsid w:val="002126DE"/>
    <w:rsid w:val="00212879"/>
    <w:rsid w:val="0021302C"/>
    <w:rsid w:val="00213CF7"/>
    <w:rsid w:val="00213FAA"/>
    <w:rsid w:val="00214758"/>
    <w:rsid w:val="00214CBB"/>
    <w:rsid w:val="002163F6"/>
    <w:rsid w:val="002215A1"/>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61B4"/>
    <w:rsid w:val="00236AA6"/>
    <w:rsid w:val="00236C76"/>
    <w:rsid w:val="00237436"/>
    <w:rsid w:val="00240E4C"/>
    <w:rsid w:val="00242E5E"/>
    <w:rsid w:val="002430BB"/>
    <w:rsid w:val="00243FF1"/>
    <w:rsid w:val="00245261"/>
    <w:rsid w:val="00246F6A"/>
    <w:rsid w:val="002474C4"/>
    <w:rsid w:val="00251281"/>
    <w:rsid w:val="0025152E"/>
    <w:rsid w:val="00251720"/>
    <w:rsid w:val="0025236F"/>
    <w:rsid w:val="00252750"/>
    <w:rsid w:val="0025305E"/>
    <w:rsid w:val="00254847"/>
    <w:rsid w:val="00255B1A"/>
    <w:rsid w:val="002575E4"/>
    <w:rsid w:val="00260CB0"/>
    <w:rsid w:val="002632ED"/>
    <w:rsid w:val="002637AC"/>
    <w:rsid w:val="00263AC1"/>
    <w:rsid w:val="00263F1D"/>
    <w:rsid w:val="002655D6"/>
    <w:rsid w:val="002673CC"/>
    <w:rsid w:val="00267BAB"/>
    <w:rsid w:val="0027078A"/>
    <w:rsid w:val="00270E5D"/>
    <w:rsid w:val="002710AC"/>
    <w:rsid w:val="0027227D"/>
    <w:rsid w:val="002723CB"/>
    <w:rsid w:val="0027300C"/>
    <w:rsid w:val="0027356E"/>
    <w:rsid w:val="0027369E"/>
    <w:rsid w:val="002736D3"/>
    <w:rsid w:val="00273BC7"/>
    <w:rsid w:val="00275789"/>
    <w:rsid w:val="00276700"/>
    <w:rsid w:val="00276BB2"/>
    <w:rsid w:val="0028014F"/>
    <w:rsid w:val="0028156F"/>
    <w:rsid w:val="002821ED"/>
    <w:rsid w:val="002821F3"/>
    <w:rsid w:val="00282549"/>
    <w:rsid w:val="00282B12"/>
    <w:rsid w:val="00282DFC"/>
    <w:rsid w:val="002842EC"/>
    <w:rsid w:val="0028622C"/>
    <w:rsid w:val="002878AD"/>
    <w:rsid w:val="00290194"/>
    <w:rsid w:val="0029083E"/>
    <w:rsid w:val="002913EF"/>
    <w:rsid w:val="002919E6"/>
    <w:rsid w:val="00291C34"/>
    <w:rsid w:val="00291C3F"/>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1AE1"/>
    <w:rsid w:val="002C357F"/>
    <w:rsid w:val="002C360F"/>
    <w:rsid w:val="002C38CC"/>
    <w:rsid w:val="002C3917"/>
    <w:rsid w:val="002C3F6B"/>
    <w:rsid w:val="002C475D"/>
    <w:rsid w:val="002C551F"/>
    <w:rsid w:val="002C6535"/>
    <w:rsid w:val="002C6AEA"/>
    <w:rsid w:val="002C704B"/>
    <w:rsid w:val="002C7074"/>
    <w:rsid w:val="002C7616"/>
    <w:rsid w:val="002D1748"/>
    <w:rsid w:val="002D33DD"/>
    <w:rsid w:val="002D37E6"/>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3001F9"/>
    <w:rsid w:val="00300BFE"/>
    <w:rsid w:val="00300E84"/>
    <w:rsid w:val="0030151E"/>
    <w:rsid w:val="00301BC6"/>
    <w:rsid w:val="00301C05"/>
    <w:rsid w:val="00301D06"/>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1117"/>
    <w:rsid w:val="00322091"/>
    <w:rsid w:val="0032216A"/>
    <w:rsid w:val="00322353"/>
    <w:rsid w:val="003231E3"/>
    <w:rsid w:val="0032373D"/>
    <w:rsid w:val="00324794"/>
    <w:rsid w:val="00324C87"/>
    <w:rsid w:val="00324D66"/>
    <w:rsid w:val="003252C6"/>
    <w:rsid w:val="00325D58"/>
    <w:rsid w:val="00327F85"/>
    <w:rsid w:val="00330548"/>
    <w:rsid w:val="00330E66"/>
    <w:rsid w:val="00331B92"/>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8A7"/>
    <w:rsid w:val="00355F64"/>
    <w:rsid w:val="00356200"/>
    <w:rsid w:val="00356ECD"/>
    <w:rsid w:val="003601F6"/>
    <w:rsid w:val="00360D85"/>
    <w:rsid w:val="00360F58"/>
    <w:rsid w:val="00361CD6"/>
    <w:rsid w:val="00362AB6"/>
    <w:rsid w:val="00363A9A"/>
    <w:rsid w:val="00364FAB"/>
    <w:rsid w:val="00365462"/>
    <w:rsid w:val="00365691"/>
    <w:rsid w:val="00365B3B"/>
    <w:rsid w:val="00365EA6"/>
    <w:rsid w:val="0036608B"/>
    <w:rsid w:val="00370269"/>
    <w:rsid w:val="00370890"/>
    <w:rsid w:val="00372898"/>
    <w:rsid w:val="003728D0"/>
    <w:rsid w:val="0037393D"/>
    <w:rsid w:val="00375AD7"/>
    <w:rsid w:val="00375DDF"/>
    <w:rsid w:val="003769F0"/>
    <w:rsid w:val="003807B8"/>
    <w:rsid w:val="00380E05"/>
    <w:rsid w:val="003814EE"/>
    <w:rsid w:val="00381D45"/>
    <w:rsid w:val="003829C3"/>
    <w:rsid w:val="00382C73"/>
    <w:rsid w:val="00385738"/>
    <w:rsid w:val="00385AA7"/>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976D2"/>
    <w:rsid w:val="003A02DD"/>
    <w:rsid w:val="003A1241"/>
    <w:rsid w:val="003A1A8E"/>
    <w:rsid w:val="003A1CAB"/>
    <w:rsid w:val="003A1D5E"/>
    <w:rsid w:val="003A3A02"/>
    <w:rsid w:val="003A43C8"/>
    <w:rsid w:val="003A4886"/>
    <w:rsid w:val="003A53A5"/>
    <w:rsid w:val="003A58A8"/>
    <w:rsid w:val="003A609B"/>
    <w:rsid w:val="003A6846"/>
    <w:rsid w:val="003A71F6"/>
    <w:rsid w:val="003B0BAE"/>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3A0"/>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2B1"/>
    <w:rsid w:val="00481E4B"/>
    <w:rsid w:val="00481FF3"/>
    <w:rsid w:val="00482274"/>
    <w:rsid w:val="004824E5"/>
    <w:rsid w:val="0048267D"/>
    <w:rsid w:val="00482F0C"/>
    <w:rsid w:val="00483C41"/>
    <w:rsid w:val="00483DF7"/>
    <w:rsid w:val="004844C8"/>
    <w:rsid w:val="00485DAE"/>
    <w:rsid w:val="00487DDF"/>
    <w:rsid w:val="00490DEC"/>
    <w:rsid w:val="00493221"/>
    <w:rsid w:val="00494A17"/>
    <w:rsid w:val="00495064"/>
    <w:rsid w:val="004951BC"/>
    <w:rsid w:val="00495997"/>
    <w:rsid w:val="0049698F"/>
    <w:rsid w:val="00496AD0"/>
    <w:rsid w:val="004973D9"/>
    <w:rsid w:val="0049745B"/>
    <w:rsid w:val="004975A2"/>
    <w:rsid w:val="004A0026"/>
    <w:rsid w:val="004A2EB8"/>
    <w:rsid w:val="004A45FA"/>
    <w:rsid w:val="004A5185"/>
    <w:rsid w:val="004A7026"/>
    <w:rsid w:val="004A7167"/>
    <w:rsid w:val="004A7820"/>
    <w:rsid w:val="004A7ABB"/>
    <w:rsid w:val="004B10F3"/>
    <w:rsid w:val="004B1509"/>
    <w:rsid w:val="004B1876"/>
    <w:rsid w:val="004B320D"/>
    <w:rsid w:val="004B395B"/>
    <w:rsid w:val="004B406E"/>
    <w:rsid w:val="004B4E6D"/>
    <w:rsid w:val="004B501E"/>
    <w:rsid w:val="004B56AE"/>
    <w:rsid w:val="004C0F47"/>
    <w:rsid w:val="004D11F6"/>
    <w:rsid w:val="004D1317"/>
    <w:rsid w:val="004D1994"/>
    <w:rsid w:val="004D294D"/>
    <w:rsid w:val="004D3D34"/>
    <w:rsid w:val="004D57E7"/>
    <w:rsid w:val="004D657F"/>
    <w:rsid w:val="004D6FB5"/>
    <w:rsid w:val="004D7983"/>
    <w:rsid w:val="004E009B"/>
    <w:rsid w:val="004E00B4"/>
    <w:rsid w:val="004E058F"/>
    <w:rsid w:val="004E06CF"/>
    <w:rsid w:val="004E0C25"/>
    <w:rsid w:val="004E115B"/>
    <w:rsid w:val="004E1B7B"/>
    <w:rsid w:val="004E1F65"/>
    <w:rsid w:val="004E29A9"/>
    <w:rsid w:val="004E31A7"/>
    <w:rsid w:val="004E473D"/>
    <w:rsid w:val="004E4AED"/>
    <w:rsid w:val="004E5905"/>
    <w:rsid w:val="004E5E58"/>
    <w:rsid w:val="004E6017"/>
    <w:rsid w:val="004E73B0"/>
    <w:rsid w:val="004F0257"/>
    <w:rsid w:val="004F0A4A"/>
    <w:rsid w:val="004F0A9D"/>
    <w:rsid w:val="004F0CDB"/>
    <w:rsid w:val="004F2BEC"/>
    <w:rsid w:val="004F2E55"/>
    <w:rsid w:val="004F313F"/>
    <w:rsid w:val="004F51D8"/>
    <w:rsid w:val="004F5E87"/>
    <w:rsid w:val="004F69A7"/>
    <w:rsid w:val="004F7C9A"/>
    <w:rsid w:val="00501BBC"/>
    <w:rsid w:val="00502126"/>
    <w:rsid w:val="0050248D"/>
    <w:rsid w:val="00503D97"/>
    <w:rsid w:val="005046B4"/>
    <w:rsid w:val="00504DDD"/>
    <w:rsid w:val="005053A2"/>
    <w:rsid w:val="00506356"/>
    <w:rsid w:val="00506794"/>
    <w:rsid w:val="00510799"/>
    <w:rsid w:val="0051373F"/>
    <w:rsid w:val="00513FFD"/>
    <w:rsid w:val="00515F06"/>
    <w:rsid w:val="005170E9"/>
    <w:rsid w:val="00517334"/>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FFB"/>
    <w:rsid w:val="00545108"/>
    <w:rsid w:val="005469CC"/>
    <w:rsid w:val="00550104"/>
    <w:rsid w:val="005502FA"/>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51FC"/>
    <w:rsid w:val="00565261"/>
    <w:rsid w:val="00570B6D"/>
    <w:rsid w:val="00571257"/>
    <w:rsid w:val="00572EF2"/>
    <w:rsid w:val="005735C8"/>
    <w:rsid w:val="00574538"/>
    <w:rsid w:val="00575CAA"/>
    <w:rsid w:val="00575E3C"/>
    <w:rsid w:val="00577E13"/>
    <w:rsid w:val="005804D2"/>
    <w:rsid w:val="00580E02"/>
    <w:rsid w:val="00581078"/>
    <w:rsid w:val="005812C6"/>
    <w:rsid w:val="005815C8"/>
    <w:rsid w:val="00581BDC"/>
    <w:rsid w:val="00582005"/>
    <w:rsid w:val="005825BE"/>
    <w:rsid w:val="00582C9C"/>
    <w:rsid w:val="005832F8"/>
    <w:rsid w:val="00583D65"/>
    <w:rsid w:val="00585A4D"/>
    <w:rsid w:val="00585B22"/>
    <w:rsid w:val="00585B41"/>
    <w:rsid w:val="00587575"/>
    <w:rsid w:val="005876A9"/>
    <w:rsid w:val="00592408"/>
    <w:rsid w:val="00592A7D"/>
    <w:rsid w:val="005938F8"/>
    <w:rsid w:val="00593C54"/>
    <w:rsid w:val="005945A5"/>
    <w:rsid w:val="005967BD"/>
    <w:rsid w:val="00596F4E"/>
    <w:rsid w:val="005972EF"/>
    <w:rsid w:val="005A0EA4"/>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112"/>
    <w:rsid w:val="005C2493"/>
    <w:rsid w:val="005C2A9A"/>
    <w:rsid w:val="005C2CE1"/>
    <w:rsid w:val="005C4917"/>
    <w:rsid w:val="005C5281"/>
    <w:rsid w:val="005C59EF"/>
    <w:rsid w:val="005C5B3F"/>
    <w:rsid w:val="005C5C53"/>
    <w:rsid w:val="005C5F87"/>
    <w:rsid w:val="005C6937"/>
    <w:rsid w:val="005C6F65"/>
    <w:rsid w:val="005C7E66"/>
    <w:rsid w:val="005D1FED"/>
    <w:rsid w:val="005D443E"/>
    <w:rsid w:val="005D515D"/>
    <w:rsid w:val="005D6018"/>
    <w:rsid w:val="005D6854"/>
    <w:rsid w:val="005D76FF"/>
    <w:rsid w:val="005D7F2A"/>
    <w:rsid w:val="005E0B83"/>
    <w:rsid w:val="005E2FD0"/>
    <w:rsid w:val="005E3581"/>
    <w:rsid w:val="005E5307"/>
    <w:rsid w:val="005E6A9D"/>
    <w:rsid w:val="005E7588"/>
    <w:rsid w:val="005E7DA1"/>
    <w:rsid w:val="005F1381"/>
    <w:rsid w:val="005F1402"/>
    <w:rsid w:val="005F2154"/>
    <w:rsid w:val="005F3A59"/>
    <w:rsid w:val="005F4461"/>
    <w:rsid w:val="005F4ADE"/>
    <w:rsid w:val="005F4F73"/>
    <w:rsid w:val="005F66E8"/>
    <w:rsid w:val="005F6775"/>
    <w:rsid w:val="00601092"/>
    <w:rsid w:val="00601146"/>
    <w:rsid w:val="00601F55"/>
    <w:rsid w:val="00603E87"/>
    <w:rsid w:val="00604239"/>
    <w:rsid w:val="00604944"/>
    <w:rsid w:val="00605CBF"/>
    <w:rsid w:val="00605F97"/>
    <w:rsid w:val="00606017"/>
    <w:rsid w:val="00607975"/>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5419"/>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B73B1"/>
    <w:rsid w:val="006C07D7"/>
    <w:rsid w:val="006C122D"/>
    <w:rsid w:val="006C23A9"/>
    <w:rsid w:val="006C2415"/>
    <w:rsid w:val="006C2F20"/>
    <w:rsid w:val="006C3E07"/>
    <w:rsid w:val="006C608F"/>
    <w:rsid w:val="006C674E"/>
    <w:rsid w:val="006C7209"/>
    <w:rsid w:val="006C7571"/>
    <w:rsid w:val="006C7ED1"/>
    <w:rsid w:val="006D1438"/>
    <w:rsid w:val="006D15EC"/>
    <w:rsid w:val="006D36AA"/>
    <w:rsid w:val="006D447A"/>
    <w:rsid w:val="006D53DC"/>
    <w:rsid w:val="006D5C26"/>
    <w:rsid w:val="006D76D9"/>
    <w:rsid w:val="006D76E0"/>
    <w:rsid w:val="006D7B0F"/>
    <w:rsid w:val="006E12AE"/>
    <w:rsid w:val="006E334A"/>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2BF"/>
    <w:rsid w:val="0072770D"/>
    <w:rsid w:val="00727CCF"/>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4C66"/>
    <w:rsid w:val="0074580E"/>
    <w:rsid w:val="0075008A"/>
    <w:rsid w:val="007506F7"/>
    <w:rsid w:val="007513B6"/>
    <w:rsid w:val="007516A9"/>
    <w:rsid w:val="00752223"/>
    <w:rsid w:val="00752579"/>
    <w:rsid w:val="00753196"/>
    <w:rsid w:val="00756FF1"/>
    <w:rsid w:val="007570C4"/>
    <w:rsid w:val="00761CBD"/>
    <w:rsid w:val="00761FFC"/>
    <w:rsid w:val="00763712"/>
    <w:rsid w:val="00763FD2"/>
    <w:rsid w:val="00764D42"/>
    <w:rsid w:val="00764D8C"/>
    <w:rsid w:val="00765158"/>
    <w:rsid w:val="00770067"/>
    <w:rsid w:val="00770275"/>
    <w:rsid w:val="007706DA"/>
    <w:rsid w:val="0077076A"/>
    <w:rsid w:val="007708DF"/>
    <w:rsid w:val="0077106E"/>
    <w:rsid w:val="00772B91"/>
    <w:rsid w:val="00773AA4"/>
    <w:rsid w:val="00773F14"/>
    <w:rsid w:val="00774B78"/>
    <w:rsid w:val="00775281"/>
    <w:rsid w:val="007754C0"/>
    <w:rsid w:val="00775DB8"/>
    <w:rsid w:val="00776013"/>
    <w:rsid w:val="0078032A"/>
    <w:rsid w:val="00780821"/>
    <w:rsid w:val="00780CDA"/>
    <w:rsid w:val="007820C5"/>
    <w:rsid w:val="00783F5A"/>
    <w:rsid w:val="0078411B"/>
    <w:rsid w:val="00784BF1"/>
    <w:rsid w:val="00784BFE"/>
    <w:rsid w:val="007866E8"/>
    <w:rsid w:val="007869CE"/>
    <w:rsid w:val="00790A8C"/>
    <w:rsid w:val="00792351"/>
    <w:rsid w:val="00792A56"/>
    <w:rsid w:val="00794B5E"/>
    <w:rsid w:val="00796163"/>
    <w:rsid w:val="00796B32"/>
    <w:rsid w:val="007A0661"/>
    <w:rsid w:val="007A06C1"/>
    <w:rsid w:val="007A0BBB"/>
    <w:rsid w:val="007A2A0B"/>
    <w:rsid w:val="007A3448"/>
    <w:rsid w:val="007A39C9"/>
    <w:rsid w:val="007A3B89"/>
    <w:rsid w:val="007A5344"/>
    <w:rsid w:val="007A5916"/>
    <w:rsid w:val="007B06FD"/>
    <w:rsid w:val="007B0F74"/>
    <w:rsid w:val="007B1A2F"/>
    <w:rsid w:val="007B1B96"/>
    <w:rsid w:val="007B6250"/>
    <w:rsid w:val="007B7F11"/>
    <w:rsid w:val="007C127F"/>
    <w:rsid w:val="007C14A3"/>
    <w:rsid w:val="007C19D7"/>
    <w:rsid w:val="007C27CF"/>
    <w:rsid w:val="007C3C84"/>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E7F0F"/>
    <w:rsid w:val="007F2E60"/>
    <w:rsid w:val="007F3F52"/>
    <w:rsid w:val="007F46CF"/>
    <w:rsid w:val="007F557E"/>
    <w:rsid w:val="007F56E8"/>
    <w:rsid w:val="007F5DEE"/>
    <w:rsid w:val="007F6478"/>
    <w:rsid w:val="007F6618"/>
    <w:rsid w:val="007F77BA"/>
    <w:rsid w:val="007F7D47"/>
    <w:rsid w:val="008006ED"/>
    <w:rsid w:val="00800A6D"/>
    <w:rsid w:val="00800C4D"/>
    <w:rsid w:val="0080142B"/>
    <w:rsid w:val="00801E81"/>
    <w:rsid w:val="008024AD"/>
    <w:rsid w:val="00802984"/>
    <w:rsid w:val="0080315D"/>
    <w:rsid w:val="008032D6"/>
    <w:rsid w:val="0080443D"/>
    <w:rsid w:val="00805031"/>
    <w:rsid w:val="0080704E"/>
    <w:rsid w:val="00807462"/>
    <w:rsid w:val="00810789"/>
    <w:rsid w:val="00810F5B"/>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23730"/>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51E87"/>
    <w:rsid w:val="00852EBE"/>
    <w:rsid w:val="008537E4"/>
    <w:rsid w:val="008540E3"/>
    <w:rsid w:val="008541B0"/>
    <w:rsid w:val="00855AD2"/>
    <w:rsid w:val="0085794D"/>
    <w:rsid w:val="00857E62"/>
    <w:rsid w:val="00857FB9"/>
    <w:rsid w:val="008609AF"/>
    <w:rsid w:val="00861887"/>
    <w:rsid w:val="008642C1"/>
    <w:rsid w:val="00865521"/>
    <w:rsid w:val="00865CEF"/>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5A9D"/>
    <w:rsid w:val="008966B0"/>
    <w:rsid w:val="00897EAE"/>
    <w:rsid w:val="008A0DFD"/>
    <w:rsid w:val="008A1A6A"/>
    <w:rsid w:val="008A56C4"/>
    <w:rsid w:val="008B0750"/>
    <w:rsid w:val="008B14DF"/>
    <w:rsid w:val="008B1659"/>
    <w:rsid w:val="008B22CF"/>
    <w:rsid w:val="008B26CE"/>
    <w:rsid w:val="008B4D3D"/>
    <w:rsid w:val="008B681A"/>
    <w:rsid w:val="008B69DE"/>
    <w:rsid w:val="008B7CDA"/>
    <w:rsid w:val="008B7D6D"/>
    <w:rsid w:val="008C0A52"/>
    <w:rsid w:val="008C158F"/>
    <w:rsid w:val="008C1B98"/>
    <w:rsid w:val="008C2028"/>
    <w:rsid w:val="008C2746"/>
    <w:rsid w:val="008C2A0E"/>
    <w:rsid w:val="008C3905"/>
    <w:rsid w:val="008C4ABA"/>
    <w:rsid w:val="008C4F73"/>
    <w:rsid w:val="008C5C2C"/>
    <w:rsid w:val="008C5F8A"/>
    <w:rsid w:val="008C71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12"/>
    <w:rsid w:val="008E4852"/>
    <w:rsid w:val="008E7287"/>
    <w:rsid w:val="008E7942"/>
    <w:rsid w:val="008F1D0C"/>
    <w:rsid w:val="008F58AD"/>
    <w:rsid w:val="008F61B7"/>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3806"/>
    <w:rsid w:val="00914014"/>
    <w:rsid w:val="00915621"/>
    <w:rsid w:val="00915BCB"/>
    <w:rsid w:val="009167F4"/>
    <w:rsid w:val="00916EAF"/>
    <w:rsid w:val="00917EBA"/>
    <w:rsid w:val="00920F8E"/>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36BE8"/>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60C03"/>
    <w:rsid w:val="00961006"/>
    <w:rsid w:val="0096106E"/>
    <w:rsid w:val="00961A1B"/>
    <w:rsid w:val="00961A27"/>
    <w:rsid w:val="00961F56"/>
    <w:rsid w:val="00963A91"/>
    <w:rsid w:val="00964CB8"/>
    <w:rsid w:val="0096516F"/>
    <w:rsid w:val="00965C57"/>
    <w:rsid w:val="00965D77"/>
    <w:rsid w:val="00966802"/>
    <w:rsid w:val="00966BA5"/>
    <w:rsid w:val="009700E8"/>
    <w:rsid w:val="0097310F"/>
    <w:rsid w:val="00973326"/>
    <w:rsid w:val="00974481"/>
    <w:rsid w:val="00976516"/>
    <w:rsid w:val="009768DC"/>
    <w:rsid w:val="00976DB2"/>
    <w:rsid w:val="00976E2E"/>
    <w:rsid w:val="00977B2A"/>
    <w:rsid w:val="00977B76"/>
    <w:rsid w:val="0098026A"/>
    <w:rsid w:val="0098262A"/>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7355"/>
    <w:rsid w:val="009A7882"/>
    <w:rsid w:val="009B1613"/>
    <w:rsid w:val="009B1AE5"/>
    <w:rsid w:val="009B3116"/>
    <w:rsid w:val="009B455C"/>
    <w:rsid w:val="009B4E61"/>
    <w:rsid w:val="009B52CF"/>
    <w:rsid w:val="009B540F"/>
    <w:rsid w:val="009B565B"/>
    <w:rsid w:val="009B5730"/>
    <w:rsid w:val="009B6C18"/>
    <w:rsid w:val="009B7211"/>
    <w:rsid w:val="009B7A89"/>
    <w:rsid w:val="009C0B3D"/>
    <w:rsid w:val="009C0BD0"/>
    <w:rsid w:val="009C164D"/>
    <w:rsid w:val="009C20B0"/>
    <w:rsid w:val="009C2A75"/>
    <w:rsid w:val="009C2C36"/>
    <w:rsid w:val="009C2EC9"/>
    <w:rsid w:val="009C3860"/>
    <w:rsid w:val="009C3971"/>
    <w:rsid w:val="009C4380"/>
    <w:rsid w:val="009C4E86"/>
    <w:rsid w:val="009C5898"/>
    <w:rsid w:val="009C6075"/>
    <w:rsid w:val="009C626F"/>
    <w:rsid w:val="009C6B29"/>
    <w:rsid w:val="009C7221"/>
    <w:rsid w:val="009D0291"/>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E6799"/>
    <w:rsid w:val="009F2C3F"/>
    <w:rsid w:val="009F4905"/>
    <w:rsid w:val="009F5181"/>
    <w:rsid w:val="009F668E"/>
    <w:rsid w:val="009F6BD4"/>
    <w:rsid w:val="009F6D97"/>
    <w:rsid w:val="009F6E5B"/>
    <w:rsid w:val="009F729E"/>
    <w:rsid w:val="00A00C33"/>
    <w:rsid w:val="00A02A6F"/>
    <w:rsid w:val="00A036B6"/>
    <w:rsid w:val="00A0448A"/>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5F4C"/>
    <w:rsid w:val="00A67029"/>
    <w:rsid w:val="00A67563"/>
    <w:rsid w:val="00A67FDA"/>
    <w:rsid w:val="00A70266"/>
    <w:rsid w:val="00A70579"/>
    <w:rsid w:val="00A70879"/>
    <w:rsid w:val="00A70CE6"/>
    <w:rsid w:val="00A71783"/>
    <w:rsid w:val="00A72137"/>
    <w:rsid w:val="00A72C57"/>
    <w:rsid w:val="00A808F3"/>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06F6"/>
    <w:rsid w:val="00AC14BD"/>
    <w:rsid w:val="00AC214C"/>
    <w:rsid w:val="00AC3773"/>
    <w:rsid w:val="00AC4B05"/>
    <w:rsid w:val="00AC5070"/>
    <w:rsid w:val="00AC5270"/>
    <w:rsid w:val="00AC5344"/>
    <w:rsid w:val="00AC58BB"/>
    <w:rsid w:val="00AC5DFD"/>
    <w:rsid w:val="00AC6056"/>
    <w:rsid w:val="00AC6C50"/>
    <w:rsid w:val="00AD17AA"/>
    <w:rsid w:val="00AD1AD1"/>
    <w:rsid w:val="00AD340A"/>
    <w:rsid w:val="00AD3CBE"/>
    <w:rsid w:val="00AD3DD4"/>
    <w:rsid w:val="00AD55A8"/>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BE1"/>
    <w:rsid w:val="00B37F2E"/>
    <w:rsid w:val="00B40D33"/>
    <w:rsid w:val="00B41622"/>
    <w:rsid w:val="00B41F7F"/>
    <w:rsid w:val="00B4246C"/>
    <w:rsid w:val="00B43857"/>
    <w:rsid w:val="00B4395E"/>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B81"/>
    <w:rsid w:val="00B87DFA"/>
    <w:rsid w:val="00B90FD2"/>
    <w:rsid w:val="00B91E9E"/>
    <w:rsid w:val="00B923FB"/>
    <w:rsid w:val="00B92A39"/>
    <w:rsid w:val="00B944E2"/>
    <w:rsid w:val="00B94B2D"/>
    <w:rsid w:val="00B96336"/>
    <w:rsid w:val="00B96B6A"/>
    <w:rsid w:val="00B97ABD"/>
    <w:rsid w:val="00B97C02"/>
    <w:rsid w:val="00BA11E1"/>
    <w:rsid w:val="00BA2406"/>
    <w:rsid w:val="00BA29CE"/>
    <w:rsid w:val="00BA2DE3"/>
    <w:rsid w:val="00BA4938"/>
    <w:rsid w:val="00BA4FE7"/>
    <w:rsid w:val="00BA5BA6"/>
    <w:rsid w:val="00BA740D"/>
    <w:rsid w:val="00BB137D"/>
    <w:rsid w:val="00BB17B4"/>
    <w:rsid w:val="00BB20CC"/>
    <w:rsid w:val="00BB2E20"/>
    <w:rsid w:val="00BB2E22"/>
    <w:rsid w:val="00BB6025"/>
    <w:rsid w:val="00BB797B"/>
    <w:rsid w:val="00BC08C8"/>
    <w:rsid w:val="00BC1D79"/>
    <w:rsid w:val="00BC21D5"/>
    <w:rsid w:val="00BC36EF"/>
    <w:rsid w:val="00BC42CC"/>
    <w:rsid w:val="00BC4DF3"/>
    <w:rsid w:val="00BC4F2A"/>
    <w:rsid w:val="00BC694E"/>
    <w:rsid w:val="00BC6F24"/>
    <w:rsid w:val="00BC6F3B"/>
    <w:rsid w:val="00BC7159"/>
    <w:rsid w:val="00BC7DD9"/>
    <w:rsid w:val="00BD19E1"/>
    <w:rsid w:val="00BD1CFD"/>
    <w:rsid w:val="00BD41A5"/>
    <w:rsid w:val="00BD431A"/>
    <w:rsid w:val="00BD6D00"/>
    <w:rsid w:val="00BE0083"/>
    <w:rsid w:val="00BE02CB"/>
    <w:rsid w:val="00BE0679"/>
    <w:rsid w:val="00BE0A13"/>
    <w:rsid w:val="00BE15C3"/>
    <w:rsid w:val="00BE1708"/>
    <w:rsid w:val="00BE4FC9"/>
    <w:rsid w:val="00BE5EEF"/>
    <w:rsid w:val="00BE6CBE"/>
    <w:rsid w:val="00BE7039"/>
    <w:rsid w:val="00BE73EB"/>
    <w:rsid w:val="00BF15D5"/>
    <w:rsid w:val="00BF47E0"/>
    <w:rsid w:val="00BF6952"/>
    <w:rsid w:val="00BF6D50"/>
    <w:rsid w:val="00C005AA"/>
    <w:rsid w:val="00C00F0C"/>
    <w:rsid w:val="00C01253"/>
    <w:rsid w:val="00C01A0C"/>
    <w:rsid w:val="00C024BB"/>
    <w:rsid w:val="00C026AD"/>
    <w:rsid w:val="00C0270C"/>
    <w:rsid w:val="00C03EFC"/>
    <w:rsid w:val="00C04D50"/>
    <w:rsid w:val="00C05545"/>
    <w:rsid w:val="00C06E8D"/>
    <w:rsid w:val="00C07607"/>
    <w:rsid w:val="00C0786D"/>
    <w:rsid w:val="00C07A6F"/>
    <w:rsid w:val="00C07B8A"/>
    <w:rsid w:val="00C1081E"/>
    <w:rsid w:val="00C10A58"/>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1E9C"/>
    <w:rsid w:val="00C224EA"/>
    <w:rsid w:val="00C23022"/>
    <w:rsid w:val="00C23800"/>
    <w:rsid w:val="00C23943"/>
    <w:rsid w:val="00C243CF"/>
    <w:rsid w:val="00C25121"/>
    <w:rsid w:val="00C2537B"/>
    <w:rsid w:val="00C2539B"/>
    <w:rsid w:val="00C2583F"/>
    <w:rsid w:val="00C27125"/>
    <w:rsid w:val="00C2714C"/>
    <w:rsid w:val="00C2765B"/>
    <w:rsid w:val="00C3111A"/>
    <w:rsid w:val="00C32068"/>
    <w:rsid w:val="00C321FA"/>
    <w:rsid w:val="00C3337F"/>
    <w:rsid w:val="00C33DA5"/>
    <w:rsid w:val="00C35230"/>
    <w:rsid w:val="00C35327"/>
    <w:rsid w:val="00C35DD4"/>
    <w:rsid w:val="00C3736D"/>
    <w:rsid w:val="00C3794A"/>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8CA"/>
    <w:rsid w:val="00C62AB9"/>
    <w:rsid w:val="00C630CA"/>
    <w:rsid w:val="00C6418D"/>
    <w:rsid w:val="00C64A9B"/>
    <w:rsid w:val="00C654A4"/>
    <w:rsid w:val="00C67428"/>
    <w:rsid w:val="00C67A82"/>
    <w:rsid w:val="00C706BF"/>
    <w:rsid w:val="00C7070A"/>
    <w:rsid w:val="00C71606"/>
    <w:rsid w:val="00C71FC8"/>
    <w:rsid w:val="00C7276A"/>
    <w:rsid w:val="00C73150"/>
    <w:rsid w:val="00C73F4C"/>
    <w:rsid w:val="00C76CE5"/>
    <w:rsid w:val="00C773B2"/>
    <w:rsid w:val="00C77451"/>
    <w:rsid w:val="00C8057B"/>
    <w:rsid w:val="00C80B02"/>
    <w:rsid w:val="00C81703"/>
    <w:rsid w:val="00C86BE4"/>
    <w:rsid w:val="00C87A6F"/>
    <w:rsid w:val="00C9048B"/>
    <w:rsid w:val="00C90E83"/>
    <w:rsid w:val="00C91760"/>
    <w:rsid w:val="00C936A3"/>
    <w:rsid w:val="00C93E15"/>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3726"/>
    <w:rsid w:val="00CB4016"/>
    <w:rsid w:val="00CB44DF"/>
    <w:rsid w:val="00CB5E62"/>
    <w:rsid w:val="00CB6E5A"/>
    <w:rsid w:val="00CB6F6B"/>
    <w:rsid w:val="00CB70BB"/>
    <w:rsid w:val="00CC210D"/>
    <w:rsid w:val="00CC40CB"/>
    <w:rsid w:val="00CC4863"/>
    <w:rsid w:val="00CC4DAC"/>
    <w:rsid w:val="00CC5854"/>
    <w:rsid w:val="00CC7469"/>
    <w:rsid w:val="00CC78C3"/>
    <w:rsid w:val="00CC7AEC"/>
    <w:rsid w:val="00CD1370"/>
    <w:rsid w:val="00CD179A"/>
    <w:rsid w:val="00CD3A20"/>
    <w:rsid w:val="00CD4433"/>
    <w:rsid w:val="00CD47DD"/>
    <w:rsid w:val="00CD59D0"/>
    <w:rsid w:val="00CD5A63"/>
    <w:rsid w:val="00CD5BD6"/>
    <w:rsid w:val="00CD6595"/>
    <w:rsid w:val="00CD6E02"/>
    <w:rsid w:val="00CD7C29"/>
    <w:rsid w:val="00CE06B5"/>
    <w:rsid w:val="00CE36D6"/>
    <w:rsid w:val="00CE3A14"/>
    <w:rsid w:val="00CE3E2D"/>
    <w:rsid w:val="00CE5FC5"/>
    <w:rsid w:val="00CE64BF"/>
    <w:rsid w:val="00CE66EB"/>
    <w:rsid w:val="00CE6DAA"/>
    <w:rsid w:val="00CF01A1"/>
    <w:rsid w:val="00CF0338"/>
    <w:rsid w:val="00CF17CF"/>
    <w:rsid w:val="00CF3022"/>
    <w:rsid w:val="00CF3F04"/>
    <w:rsid w:val="00CF467D"/>
    <w:rsid w:val="00CF520C"/>
    <w:rsid w:val="00D001C4"/>
    <w:rsid w:val="00D00605"/>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17E14"/>
    <w:rsid w:val="00D20204"/>
    <w:rsid w:val="00D20A06"/>
    <w:rsid w:val="00D20CDD"/>
    <w:rsid w:val="00D20F0A"/>
    <w:rsid w:val="00D21ACC"/>
    <w:rsid w:val="00D21EA4"/>
    <w:rsid w:val="00D24702"/>
    <w:rsid w:val="00D254BE"/>
    <w:rsid w:val="00D257C1"/>
    <w:rsid w:val="00D2721F"/>
    <w:rsid w:val="00D27AD9"/>
    <w:rsid w:val="00D3023F"/>
    <w:rsid w:val="00D30288"/>
    <w:rsid w:val="00D30A4D"/>
    <w:rsid w:val="00D30CED"/>
    <w:rsid w:val="00D31DED"/>
    <w:rsid w:val="00D34442"/>
    <w:rsid w:val="00D34A54"/>
    <w:rsid w:val="00D34FD3"/>
    <w:rsid w:val="00D35806"/>
    <w:rsid w:val="00D36E1B"/>
    <w:rsid w:val="00D4033D"/>
    <w:rsid w:val="00D40734"/>
    <w:rsid w:val="00D40911"/>
    <w:rsid w:val="00D411A5"/>
    <w:rsid w:val="00D414E5"/>
    <w:rsid w:val="00D415DD"/>
    <w:rsid w:val="00D4255E"/>
    <w:rsid w:val="00D43DFB"/>
    <w:rsid w:val="00D44340"/>
    <w:rsid w:val="00D44CAD"/>
    <w:rsid w:val="00D44E07"/>
    <w:rsid w:val="00D45733"/>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43DC"/>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560B"/>
    <w:rsid w:val="00DA6A1C"/>
    <w:rsid w:val="00DA6D13"/>
    <w:rsid w:val="00DA7C1E"/>
    <w:rsid w:val="00DB0B23"/>
    <w:rsid w:val="00DB1690"/>
    <w:rsid w:val="00DB1775"/>
    <w:rsid w:val="00DB1D71"/>
    <w:rsid w:val="00DB36E9"/>
    <w:rsid w:val="00DB68C0"/>
    <w:rsid w:val="00DB6D14"/>
    <w:rsid w:val="00DC0436"/>
    <w:rsid w:val="00DC073C"/>
    <w:rsid w:val="00DC234D"/>
    <w:rsid w:val="00DC2718"/>
    <w:rsid w:val="00DC32B3"/>
    <w:rsid w:val="00DC3BFD"/>
    <w:rsid w:val="00DC5D05"/>
    <w:rsid w:val="00DC5D72"/>
    <w:rsid w:val="00DC69B5"/>
    <w:rsid w:val="00DD0D09"/>
    <w:rsid w:val="00DD0D89"/>
    <w:rsid w:val="00DD14A6"/>
    <w:rsid w:val="00DD1E7C"/>
    <w:rsid w:val="00DD2A2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F0681"/>
    <w:rsid w:val="00DF07AF"/>
    <w:rsid w:val="00DF1BE1"/>
    <w:rsid w:val="00DF226C"/>
    <w:rsid w:val="00DF34A7"/>
    <w:rsid w:val="00DF3EC0"/>
    <w:rsid w:val="00DF47D0"/>
    <w:rsid w:val="00DF572E"/>
    <w:rsid w:val="00DF5AB9"/>
    <w:rsid w:val="00DF5ACD"/>
    <w:rsid w:val="00DF63E9"/>
    <w:rsid w:val="00DF6479"/>
    <w:rsid w:val="00DF7248"/>
    <w:rsid w:val="00DF73E8"/>
    <w:rsid w:val="00E0144D"/>
    <w:rsid w:val="00E01EA9"/>
    <w:rsid w:val="00E02F00"/>
    <w:rsid w:val="00E03422"/>
    <w:rsid w:val="00E03DC2"/>
    <w:rsid w:val="00E041F0"/>
    <w:rsid w:val="00E04A5F"/>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5097"/>
    <w:rsid w:val="00E3619D"/>
    <w:rsid w:val="00E3714C"/>
    <w:rsid w:val="00E3738A"/>
    <w:rsid w:val="00E41BCD"/>
    <w:rsid w:val="00E41D3F"/>
    <w:rsid w:val="00E421A8"/>
    <w:rsid w:val="00E44741"/>
    <w:rsid w:val="00E449A3"/>
    <w:rsid w:val="00E44A58"/>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A97"/>
    <w:rsid w:val="00E61FDD"/>
    <w:rsid w:val="00E62A52"/>
    <w:rsid w:val="00E6306A"/>
    <w:rsid w:val="00E64937"/>
    <w:rsid w:val="00E66B68"/>
    <w:rsid w:val="00E6770C"/>
    <w:rsid w:val="00E7073A"/>
    <w:rsid w:val="00E71471"/>
    <w:rsid w:val="00E7171D"/>
    <w:rsid w:val="00E71992"/>
    <w:rsid w:val="00E726B1"/>
    <w:rsid w:val="00E72856"/>
    <w:rsid w:val="00E72EF8"/>
    <w:rsid w:val="00E73231"/>
    <w:rsid w:val="00E73572"/>
    <w:rsid w:val="00E74C22"/>
    <w:rsid w:val="00E74F05"/>
    <w:rsid w:val="00E7653A"/>
    <w:rsid w:val="00E777F0"/>
    <w:rsid w:val="00E80B79"/>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0D56"/>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1170"/>
    <w:rsid w:val="00EB14E2"/>
    <w:rsid w:val="00EB191A"/>
    <w:rsid w:val="00EB20F4"/>
    <w:rsid w:val="00EB2D8E"/>
    <w:rsid w:val="00EB3906"/>
    <w:rsid w:val="00EB3CF1"/>
    <w:rsid w:val="00EB695E"/>
    <w:rsid w:val="00EB6B92"/>
    <w:rsid w:val="00EB6E34"/>
    <w:rsid w:val="00EC1A7C"/>
    <w:rsid w:val="00EC32F9"/>
    <w:rsid w:val="00EC3C75"/>
    <w:rsid w:val="00EC43E4"/>
    <w:rsid w:val="00EC4F1A"/>
    <w:rsid w:val="00EC65FA"/>
    <w:rsid w:val="00EC73DF"/>
    <w:rsid w:val="00ED35E2"/>
    <w:rsid w:val="00ED3A3A"/>
    <w:rsid w:val="00ED42B0"/>
    <w:rsid w:val="00ED4654"/>
    <w:rsid w:val="00ED54A9"/>
    <w:rsid w:val="00ED5762"/>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EF6FDA"/>
    <w:rsid w:val="00F00CD4"/>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149E"/>
    <w:rsid w:val="00F24820"/>
    <w:rsid w:val="00F24840"/>
    <w:rsid w:val="00F24D0F"/>
    <w:rsid w:val="00F2517F"/>
    <w:rsid w:val="00F251B1"/>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ACB"/>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5F6F"/>
    <w:rsid w:val="00F76845"/>
    <w:rsid w:val="00F76C21"/>
    <w:rsid w:val="00F76FA4"/>
    <w:rsid w:val="00F77E2E"/>
    <w:rsid w:val="00F77EF1"/>
    <w:rsid w:val="00F77F7C"/>
    <w:rsid w:val="00F81502"/>
    <w:rsid w:val="00F81A45"/>
    <w:rsid w:val="00F838E9"/>
    <w:rsid w:val="00F84821"/>
    <w:rsid w:val="00F84AE8"/>
    <w:rsid w:val="00F85B4D"/>
    <w:rsid w:val="00F868B9"/>
    <w:rsid w:val="00F86C3C"/>
    <w:rsid w:val="00F87C95"/>
    <w:rsid w:val="00F9009A"/>
    <w:rsid w:val="00F9016F"/>
    <w:rsid w:val="00F91B20"/>
    <w:rsid w:val="00F92814"/>
    <w:rsid w:val="00F92D42"/>
    <w:rsid w:val="00F92E8E"/>
    <w:rsid w:val="00F93309"/>
    <w:rsid w:val="00F94DDB"/>
    <w:rsid w:val="00F95071"/>
    <w:rsid w:val="00F95740"/>
    <w:rsid w:val="00F95C0C"/>
    <w:rsid w:val="00F96DA6"/>
    <w:rsid w:val="00F975AB"/>
    <w:rsid w:val="00F97E3A"/>
    <w:rsid w:val="00FA0389"/>
    <w:rsid w:val="00FA0956"/>
    <w:rsid w:val="00FA1B60"/>
    <w:rsid w:val="00FA243C"/>
    <w:rsid w:val="00FA2B8F"/>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869"/>
    <w:rsid w:val="00FB7D88"/>
    <w:rsid w:val="00FC03EF"/>
    <w:rsid w:val="00FC0C16"/>
    <w:rsid w:val="00FC16E9"/>
    <w:rsid w:val="00FC2193"/>
    <w:rsid w:val="00FC2263"/>
    <w:rsid w:val="00FC3232"/>
    <w:rsid w:val="00FC45B7"/>
    <w:rsid w:val="00FC46C2"/>
    <w:rsid w:val="00FC4C3A"/>
    <w:rsid w:val="00FC4D3A"/>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6B84"/>
    <w:rsid w:val="00FD7592"/>
    <w:rsid w:val="00FD7679"/>
    <w:rsid w:val="00FD79BA"/>
    <w:rsid w:val="00FD7CDF"/>
    <w:rsid w:val="00FE20A5"/>
    <w:rsid w:val="00FE29C3"/>
    <w:rsid w:val="00FE31B5"/>
    <w:rsid w:val="00FE3275"/>
    <w:rsid w:val="00FE4F29"/>
    <w:rsid w:val="00FE5038"/>
    <w:rsid w:val="00FE532C"/>
    <w:rsid w:val="00FE7D6C"/>
    <w:rsid w:val="00FF00E7"/>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8A"/>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 w:type="paragraph" w:styleId="PlainText">
    <w:name w:val="Plain Text"/>
    <w:basedOn w:val="Normal"/>
    <w:link w:val="PlainTextChar"/>
    <w:uiPriority w:val="99"/>
    <w:semiHidden/>
    <w:unhideWhenUsed/>
    <w:rsid w:val="00E61A97"/>
    <w:pPr>
      <w:spacing w:line="240" w:lineRule="auto"/>
    </w:pPr>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E61A97"/>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6" ma:contentTypeDescription="Create a new document." ma:contentTypeScope="" ma:versionID="cd61a9c302c91b900435f70edfb57454">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881d99710eee9af5ee8a8efce25a50e4"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2.xml><?xml version="1.0" encoding="utf-8"?>
<ds:datastoreItem xmlns:ds="http://schemas.openxmlformats.org/officeDocument/2006/customXml" ds:itemID="{DBF90783-1324-4A5F-A877-A340B869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E48376-FD9B-4188-9582-BCF849FB5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5</cp:revision>
  <dcterms:created xsi:type="dcterms:W3CDTF">2026-06-10T15:32:00Z</dcterms:created>
  <dcterms:modified xsi:type="dcterms:W3CDTF">2026-06-10T15:33:00Z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